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Texte"/>
        <w:jc w:val="right"/>
        <w:rPr>
          <w:rFonts w:ascii="Times New Roman" w:hAnsi="Times New Roman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  <w:r>
        <w:rPr>
          <w:rFonts w:ascii="Times New Roman" w:hAnsi="Times New Roman"/>
          <w:b/>
          <w:sz w:val="22"/>
          <w:lang w:val="fr-FR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rFonts w:ascii="Times New Roman" w:hAnsi="Times New Roman"/>
            <w:b/>
            <w:sz w:val="22"/>
            <w:lang w:val="fr-FR"/>
          </w:rPr>
          <w:t>LA COMMUNAUTE FRANCAISE</w:t>
        </w:r>
      </w:smartTag>
    </w:p>
    <w:p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18"/>
          <w:lang w:val="fr-FR"/>
        </w:rPr>
      </w:pPr>
      <w:r>
        <w:rPr>
          <w:rFonts w:ascii="Times New Roman" w:hAnsi="Times New Roman"/>
          <w:b/>
          <w:sz w:val="18"/>
          <w:lang w:val="fr-FR"/>
        </w:rPr>
        <w:t xml:space="preserve">ADMINISTRATION GENERALE DE L’ENSEIGNEMENT </w:t>
      </w:r>
    </w:p>
    <w:p>
      <w:pPr>
        <w:pStyle w:val="Texte"/>
        <w:jc w:val="center"/>
        <w:rPr>
          <w:rFonts w:ascii="Times New Roman" w:hAnsi="Times New Roman"/>
          <w:sz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  <w:r>
        <w:rPr>
          <w:rFonts w:ascii="Times New Roman" w:hAnsi="Times New Roman"/>
          <w:b/>
          <w:sz w:val="22"/>
          <w:lang w:val="fr-FR"/>
        </w:rPr>
        <w:t xml:space="preserve">ENSEIGNEMENT DE PROMOTION SOCIALE </w:t>
      </w:r>
    </w:p>
    <w:p/>
    <w:p/>
    <w:p/>
    <w:p/>
    <w:p/>
    <w:p/>
    <w:p/>
    <w:p/>
    <w:p/>
    <w:p/>
    <w:p/>
    <w:p/>
    <w:p/>
    <w:p/>
    <w:p>
      <w:pPr>
        <w:pStyle w:val="Texte"/>
        <w:ind w:left="2269" w:right="2602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ind w:left="2269" w:right="2602"/>
        <w:jc w:val="center"/>
        <w:rPr>
          <w:rFonts w:ascii="Times New Roman" w:hAnsi="Times New Roman"/>
          <w:b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>DOSSIER PEDAGOGIQUE</w:t>
      </w:r>
    </w:p>
    <w:p>
      <w:pPr>
        <w:pStyle w:val="Texte"/>
        <w:ind w:left="2269" w:right="2602"/>
        <w:jc w:val="center"/>
        <w:rPr>
          <w:rFonts w:ascii="Times New Roman" w:hAnsi="Times New Roman"/>
          <w:b/>
          <w:sz w:val="28"/>
          <w:lang w:val="fr-FR"/>
        </w:rPr>
      </w:pPr>
    </w:p>
    <w:p/>
    <w:p/>
    <w:p>
      <w:pPr>
        <w:jc w:val="center"/>
        <w:rPr>
          <w:b/>
          <w:sz w:val="22"/>
        </w:rPr>
      </w:pPr>
      <w:r>
        <w:rPr>
          <w:b/>
          <w:sz w:val="22"/>
        </w:rPr>
        <w:t>SECTION</w:t>
      </w:r>
    </w:p>
    <w:p>
      <w:pPr>
        <w:jc w:val="center"/>
        <w:rPr>
          <w:sz w:val="22"/>
        </w:rPr>
      </w:pPr>
    </w:p>
    <w:p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>bachelier en droit</w:t>
      </w:r>
    </w:p>
    <w:p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caps/>
          <w:sz w:val="22"/>
          <w:lang w:val="fr-FR"/>
        </w:rPr>
      </w:pPr>
      <w:r>
        <w:rPr>
          <w:rFonts w:ascii="Times New Roman" w:hAnsi="Times New Roman"/>
          <w:b/>
          <w:sz w:val="22"/>
          <w:lang w:val="fr-FR"/>
        </w:rPr>
        <w:t xml:space="preserve">ENSEIGNEMENT </w:t>
      </w:r>
      <w:r>
        <w:rPr>
          <w:rFonts w:ascii="Times New Roman" w:hAnsi="Times New Roman"/>
          <w:b/>
          <w:caps/>
          <w:sz w:val="22"/>
          <w:lang w:val="fr-FR"/>
        </w:rPr>
        <w:t>supérieur de type court</w:t>
      </w:r>
    </w:p>
    <w:p>
      <w:pPr>
        <w:pStyle w:val="Texte"/>
        <w:jc w:val="center"/>
        <w:rPr>
          <w:rFonts w:ascii="Times New Roman" w:hAnsi="Times New Roman"/>
          <w:b/>
          <w:caps/>
          <w:sz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caps/>
          <w:sz w:val="22"/>
          <w:lang w:val="fr-FR"/>
        </w:rPr>
      </w:pPr>
      <w:r>
        <w:rPr>
          <w:rFonts w:ascii="Times New Roman" w:hAnsi="Times New Roman"/>
          <w:b/>
          <w:caps/>
          <w:sz w:val="22"/>
          <w:lang w:val="fr-FR"/>
        </w:rPr>
        <w:t>DOMAINE : SCIENCES JURIDIQUES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W w:w="0" w:type="auto"/>
        <w:tblInd w:w="176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44"/>
      </w:tblGrid>
      <w:tr>
        <w:tc>
          <w:tcPr>
            <w:tcW w:w="5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CODE : 713100S32D2</w:t>
            </w:r>
          </w:p>
        </w:tc>
      </w:tr>
      <w:tr>
        <w:tc>
          <w:tcPr>
            <w:tcW w:w="55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</w:p>
        </w:tc>
      </w:tr>
      <w:t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DOCUMENT DE REFERENCE INTER-RESEAUX</w:t>
            </w:r>
          </w:p>
          <w:p>
            <w:pPr>
              <w:pStyle w:val="Texte"/>
              <w:jc w:val="center"/>
              <w:rPr>
                <w:rFonts w:ascii="Times New Roman" w:hAnsi="Times New Roman"/>
                <w:sz w:val="22"/>
                <w:lang w:val="fr-FR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 xml:space="preserve">Approbation du Gouvernement de la Communauté française du 20 août 2018, </w:t>
      </w:r>
    </w:p>
    <w:p>
      <w:pPr>
        <w:jc w:val="center"/>
        <w:rPr>
          <w:b/>
        </w:rPr>
      </w:pPr>
      <w:r>
        <w:rPr>
          <w:b/>
        </w:rPr>
        <w:t>sur avis conforme du Conseil général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7"/>
      </w:tblGrid>
      <w:t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>
            <w:pPr>
              <w:snapToGrid w:val="0"/>
              <w:jc w:val="center"/>
              <w:rPr>
                <w:b/>
                <w:caps/>
                <w:sz w:val="32"/>
              </w:rPr>
            </w:pPr>
            <w:r>
              <w:rPr>
                <w:b/>
                <w:caps/>
                <w:sz w:val="32"/>
              </w:rPr>
              <w:lastRenderedPageBreak/>
              <w:t>bachelier</w:t>
            </w:r>
            <w:r>
              <w:rPr>
                <w:rStyle w:val="Caractredenotedebasdepage"/>
                <w:b/>
                <w:caps/>
                <w:sz w:val="32"/>
              </w:rPr>
              <w:footnoteReference w:id="1"/>
            </w:r>
            <w:r>
              <w:rPr>
                <w:b/>
                <w:caps/>
                <w:sz w:val="32"/>
              </w:rPr>
              <w:t xml:space="preserve"> en Droit</w:t>
            </w:r>
          </w:p>
          <w:p>
            <w:pPr>
              <w:pStyle w:val="Texte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</w:p>
          <w:p>
            <w:pPr>
              <w:jc w:val="center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 xml:space="preserve">ENSEIGNEMENT </w:t>
            </w:r>
            <w:r>
              <w:rPr>
                <w:b/>
                <w:caps/>
                <w:sz w:val="22"/>
              </w:rPr>
              <w:t>supérieur de type court</w:t>
            </w:r>
          </w:p>
          <w:p>
            <w:pPr>
              <w:jc w:val="center"/>
              <w:rPr>
                <w:b/>
                <w:caps/>
              </w:rPr>
            </w:pPr>
          </w:p>
          <w:p>
            <w:pPr>
              <w:jc w:val="center"/>
              <w:rPr>
                <w:b/>
              </w:rPr>
            </w:pPr>
          </w:p>
        </w:tc>
      </w:tr>
    </w:tbl>
    <w:p/>
    <w:p/>
    <w:p>
      <w:pPr>
        <w:rPr>
          <w:b/>
          <w:sz w:val="22"/>
        </w:rPr>
      </w:pPr>
      <w:r>
        <w:rPr>
          <w:b/>
          <w:sz w:val="22"/>
        </w:rPr>
        <w:t>1.</w:t>
      </w:r>
      <w:r>
        <w:rPr>
          <w:b/>
          <w:sz w:val="22"/>
        </w:rPr>
        <w:tab/>
        <w:t xml:space="preserve">FINALITES DE </w:t>
      </w:r>
      <w:smartTag w:uri="urn:schemas-microsoft-com:office:smarttags" w:element="PersonName">
        <w:smartTagPr>
          <w:attr w:name="ProductID" w:val="LA SECTION"/>
        </w:smartTagPr>
        <w:r>
          <w:rPr>
            <w:b/>
            <w:sz w:val="22"/>
          </w:rPr>
          <w:t>LA SECTION</w:t>
        </w:r>
      </w:smartTag>
    </w:p>
    <w:p>
      <w:pPr>
        <w:rPr>
          <w:sz w:val="22"/>
        </w:rPr>
      </w:pPr>
    </w:p>
    <w:p>
      <w:pPr>
        <w:ind w:left="851" w:hanging="426"/>
        <w:rPr>
          <w:b/>
          <w:sz w:val="22"/>
        </w:rPr>
      </w:pPr>
      <w:r>
        <w:rPr>
          <w:b/>
          <w:sz w:val="22"/>
        </w:rPr>
        <w:t>1.1.</w:t>
      </w:r>
      <w:r>
        <w:rPr>
          <w:b/>
          <w:sz w:val="22"/>
        </w:rPr>
        <w:tab/>
        <w:t>Finalités générales</w:t>
      </w:r>
    </w:p>
    <w:p>
      <w:pPr>
        <w:rPr>
          <w:sz w:val="22"/>
        </w:rPr>
      </w:pPr>
    </w:p>
    <w:p>
      <w:pPr>
        <w:ind w:left="851"/>
        <w:jc w:val="both"/>
        <w:rPr>
          <w:sz w:val="22"/>
        </w:rPr>
      </w:pPr>
      <w:r>
        <w:rPr>
          <w:sz w:val="22"/>
        </w:rPr>
        <w:t xml:space="preserve">Conformément à l’article 7 du décret de </w:t>
      </w:r>
      <w:smartTag w:uri="urn:schemas-microsoft-com:office:smarttags" w:element="PersonName">
        <w:smartTagPr>
          <w:attr w:name="ProductID" w:val="la Communaut￩"/>
        </w:smartTagPr>
        <w:r>
          <w:rPr>
            <w:sz w:val="22"/>
          </w:rPr>
          <w:t>la Communauté</w:t>
        </w:r>
      </w:smartTag>
      <w:r>
        <w:rPr>
          <w:sz w:val="22"/>
        </w:rPr>
        <w:t xml:space="preserve"> française du 16 avril 1991, cette section doit :</w:t>
      </w:r>
    </w:p>
    <w:p>
      <w:pPr>
        <w:jc w:val="both"/>
        <w:rPr>
          <w:sz w:val="22"/>
        </w:rPr>
      </w:pPr>
    </w:p>
    <w:p>
      <w:pPr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sz w:val="22"/>
        </w:rPr>
      </w:pPr>
      <w:r>
        <w:rPr>
          <w:sz w:val="22"/>
        </w:rPr>
        <w:t>concourir à l’épanouissement individuel en promouvant une meilleure insertion professionnelle, sociale et culturelle;</w:t>
      </w:r>
    </w:p>
    <w:p>
      <w:pPr>
        <w:ind w:left="1134" w:hanging="283"/>
        <w:jc w:val="both"/>
        <w:rPr>
          <w:sz w:val="22"/>
        </w:rPr>
      </w:pPr>
    </w:p>
    <w:p>
      <w:pPr>
        <w:numPr>
          <w:ilvl w:val="0"/>
          <w:numId w:val="2"/>
        </w:numPr>
        <w:tabs>
          <w:tab w:val="left" w:pos="1134"/>
        </w:tabs>
        <w:ind w:left="1134" w:hanging="283"/>
        <w:jc w:val="both"/>
        <w:rPr>
          <w:sz w:val="22"/>
        </w:rPr>
      </w:pPr>
      <w:r>
        <w:rPr>
          <w:sz w:val="22"/>
        </w:rPr>
        <w:t>répondre aux besoins et demandes en formation émanant des entreprises, des administrations, de l’enseignement et d’une manière générale des milieux socio-économiques et culturels.</w:t>
      </w:r>
    </w:p>
    <w:p>
      <w:pPr>
        <w:rPr>
          <w:sz w:val="22"/>
        </w:rPr>
      </w:pPr>
    </w:p>
    <w:p>
      <w:pPr>
        <w:ind w:left="851" w:hanging="426"/>
        <w:rPr>
          <w:b/>
          <w:sz w:val="22"/>
        </w:rPr>
      </w:pPr>
      <w:r>
        <w:rPr>
          <w:b/>
          <w:sz w:val="22"/>
        </w:rPr>
        <w:t>1.2.</w:t>
      </w:r>
      <w:r>
        <w:rPr>
          <w:b/>
          <w:sz w:val="22"/>
        </w:rPr>
        <w:tab/>
        <w:t>Finalités particulières</w:t>
      </w:r>
    </w:p>
    <w:p>
      <w:pPr>
        <w:ind w:left="851" w:hanging="426"/>
        <w:rPr>
          <w:b/>
          <w:sz w:val="22"/>
        </w:rPr>
      </w:pPr>
    </w:p>
    <w:p>
      <w:pPr>
        <w:spacing w:after="60"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Cette section vise à permettre à l’étudiant</w:t>
      </w:r>
      <w:r>
        <w:rPr>
          <w:rStyle w:val="Caractredenotedebasdepage"/>
          <w:sz w:val="22"/>
          <w:szCs w:val="22"/>
        </w:rPr>
        <w:footnoteReference w:id="2"/>
      </w:r>
      <w:r>
        <w:rPr>
          <w:sz w:val="22"/>
          <w:szCs w:val="22"/>
        </w:rPr>
        <w:t>, dans le respect des règles déontologiques des professions juridiques, conformément au profil professionnel annexé et compte tenu de son niveau de formation, d’acquérir les compétences théoriques, techniques et  méthodologiques relatives</w:t>
      </w:r>
    </w:p>
    <w:p>
      <w:pPr>
        <w:spacing w:after="60"/>
        <w:ind w:left="425"/>
        <w:jc w:val="both"/>
        <w:rPr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785"/>
        </w:tabs>
        <w:spacing w:after="60"/>
        <w:ind w:left="1145" w:hanging="360"/>
        <w:jc w:val="both"/>
        <w:rPr>
          <w:sz w:val="22"/>
          <w:szCs w:val="22"/>
        </w:rPr>
      </w:pPr>
      <w:r>
        <w:rPr>
          <w:sz w:val="22"/>
          <w:szCs w:val="22"/>
        </w:rPr>
        <w:t>à la constitution, l’organisation, la tenue, la présentation et le suivi courant de dossiers relatifs à l’application des lois, décrets et règlements dans le cadre de situations caractérisées par des problèmes juridiques standards rencontrés par les individus, les entreprises, les services publics et les associations,</w:t>
      </w:r>
    </w:p>
    <w:p>
      <w:pPr>
        <w:numPr>
          <w:ilvl w:val="0"/>
          <w:numId w:val="1"/>
        </w:numPr>
        <w:tabs>
          <w:tab w:val="left" w:pos="785"/>
        </w:tabs>
        <w:spacing w:after="60"/>
        <w:ind w:left="1145" w:hanging="360"/>
        <w:jc w:val="both"/>
        <w:rPr>
          <w:sz w:val="22"/>
          <w:szCs w:val="22"/>
        </w:rPr>
      </w:pPr>
      <w:r>
        <w:rPr>
          <w:sz w:val="22"/>
          <w:szCs w:val="22"/>
        </w:rPr>
        <w:t>à la recherche et la vérification des données dans le respect des sources du droit, de leur hiérarchie et de leurs procédures,</w:t>
      </w:r>
    </w:p>
    <w:p>
      <w:pPr>
        <w:numPr>
          <w:ilvl w:val="0"/>
          <w:numId w:val="1"/>
        </w:numPr>
        <w:tabs>
          <w:tab w:val="left" w:pos="785"/>
        </w:tabs>
        <w:spacing w:after="60"/>
        <w:ind w:left="1145" w:hanging="360"/>
        <w:jc w:val="both"/>
        <w:rPr>
          <w:sz w:val="22"/>
          <w:szCs w:val="22"/>
        </w:rPr>
      </w:pPr>
      <w:r>
        <w:rPr>
          <w:sz w:val="22"/>
          <w:szCs w:val="22"/>
        </w:rPr>
        <w:t>à la consultation des lois, décrets et directives -belges, européennes et internationales- mais aussi de la doctrine et de la jurisprudence,</w:t>
      </w:r>
    </w:p>
    <w:p>
      <w:pPr>
        <w:numPr>
          <w:ilvl w:val="0"/>
          <w:numId w:val="1"/>
        </w:numPr>
        <w:tabs>
          <w:tab w:val="left" w:pos="785"/>
        </w:tabs>
        <w:spacing w:after="60"/>
        <w:ind w:left="1145" w:hanging="360"/>
        <w:jc w:val="both"/>
        <w:rPr>
          <w:sz w:val="22"/>
          <w:szCs w:val="22"/>
        </w:rPr>
      </w:pPr>
      <w:r>
        <w:rPr>
          <w:sz w:val="22"/>
          <w:szCs w:val="22"/>
        </w:rPr>
        <w:t>à l’analyse et éventuellement à la résolution de situations concrètes et ce dans le respect des mandats qui lui sont donnés,</w:t>
      </w:r>
    </w:p>
    <w:p>
      <w:pPr>
        <w:numPr>
          <w:ilvl w:val="0"/>
          <w:numId w:val="1"/>
        </w:numPr>
        <w:tabs>
          <w:tab w:val="left" w:pos="785"/>
        </w:tabs>
        <w:spacing w:after="60"/>
        <w:ind w:left="1145" w:hanging="360"/>
        <w:jc w:val="both"/>
        <w:rPr>
          <w:sz w:val="22"/>
          <w:szCs w:val="22"/>
        </w:rPr>
      </w:pPr>
      <w:r>
        <w:rPr>
          <w:sz w:val="22"/>
          <w:szCs w:val="22"/>
        </w:rPr>
        <w:t>à l’exercice de responsabilités d’ordre administratif, fiscal et social,</w:t>
      </w:r>
    </w:p>
    <w:p>
      <w:pPr>
        <w:numPr>
          <w:ilvl w:val="0"/>
          <w:numId w:val="1"/>
        </w:numPr>
        <w:tabs>
          <w:tab w:val="left" w:pos="785"/>
        </w:tabs>
        <w:spacing w:after="60"/>
        <w:ind w:left="1145" w:hanging="360"/>
        <w:jc w:val="both"/>
        <w:rPr>
          <w:sz w:val="22"/>
          <w:szCs w:val="22"/>
        </w:rPr>
      </w:pPr>
      <w:r>
        <w:rPr>
          <w:sz w:val="22"/>
          <w:szCs w:val="22"/>
        </w:rPr>
        <w:t>à la gestion de la communication.</w:t>
      </w:r>
    </w:p>
    <w:p>
      <w:pPr>
        <w:pStyle w:val="Retraitcorpsdetexte2"/>
      </w:pPr>
    </w:p>
    <w:p>
      <w:pPr>
        <w:pStyle w:val="Retraitcorpsdetexte2"/>
      </w:pPr>
    </w:p>
    <w:p>
      <w:pPr>
        <w:pStyle w:val="Retraitcorpsdetexte2"/>
      </w:pPr>
    </w:p>
    <w:p>
      <w:pPr>
        <w:pStyle w:val="Retraitcorpsdetexte2"/>
      </w:pPr>
    </w:p>
    <w:p>
      <w:pPr>
        <w:pStyle w:val="Retraitcorpsdetexte2"/>
      </w:pPr>
    </w:p>
    <w:p>
      <w:pPr>
        <w:pStyle w:val="Retraitcorpsdetexte2"/>
      </w:pPr>
    </w:p>
    <w:p>
      <w:pPr>
        <w:pStyle w:val="Retraitcorpsdetexte2"/>
      </w:pPr>
    </w:p>
    <w:p>
      <w:pPr>
        <w:pStyle w:val="Retraitcorpsdetexte2"/>
      </w:pPr>
    </w:p>
    <w:p>
      <w:pPr>
        <w:rPr>
          <w:b/>
          <w:sz w:val="22"/>
        </w:rPr>
      </w:pPr>
      <w:r>
        <w:rPr>
          <w:b/>
          <w:sz w:val="22"/>
        </w:rPr>
        <w:t>2.</w:t>
      </w:r>
      <w:r>
        <w:rPr>
          <w:b/>
          <w:sz w:val="22"/>
        </w:rPr>
        <w:tab/>
        <w:t xml:space="preserve">UNITES D'ENSEIGNEMENT CONSTITUTIVES DE </w:t>
      </w:r>
      <w:smartTag w:uri="urn:schemas-microsoft-com:office:smarttags" w:element="PersonName">
        <w:smartTagPr>
          <w:attr w:name="ProductID" w:val="LA SECTION"/>
        </w:smartTagPr>
        <w:r>
          <w:rPr>
            <w:b/>
            <w:sz w:val="22"/>
          </w:rPr>
          <w:t>LA SECTION</w:t>
        </w:r>
      </w:smartTag>
    </w:p>
    <w:p>
      <w:pPr>
        <w:rPr>
          <w:b/>
          <w:sz w:val="22"/>
        </w:rPr>
      </w:pPr>
    </w:p>
    <w:p/>
    <w:tbl>
      <w:tblPr>
        <w:tblW w:w="9159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05"/>
        <w:gridCol w:w="992"/>
        <w:gridCol w:w="1559"/>
        <w:gridCol w:w="993"/>
        <w:gridCol w:w="850"/>
        <w:gridCol w:w="851"/>
        <w:gridCol w:w="709"/>
      </w:tblGrid>
      <w:tr>
        <w:trPr>
          <w:cantSplit/>
        </w:trPr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Intitulés</w:t>
            </w:r>
          </w:p>
          <w:p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Classement des U.E.</w:t>
            </w:r>
          </w:p>
          <w:p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Code des</w:t>
            </w:r>
          </w:p>
          <w:p>
            <w:pPr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U.E.</w:t>
            </w:r>
          </w:p>
          <w:p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Corpsdetexte"/>
              <w:snapToGrid w:val="0"/>
            </w:pPr>
            <w:r>
              <w:t>Code du domaine</w:t>
            </w:r>
          </w:p>
          <w:p>
            <w:pPr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de formation</w:t>
            </w:r>
          </w:p>
          <w:p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Unités déter-</w:t>
            </w:r>
          </w:p>
          <w:p>
            <w:pPr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minantes</w:t>
            </w:r>
          </w:p>
          <w:p>
            <w:pPr>
              <w:jc w:val="center"/>
              <w:rPr>
                <w:b/>
                <w:sz w:val="16"/>
                <w:u w:val="singl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Nombre de périodes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snapToGrid w:val="0"/>
              <w:jc w:val="center"/>
              <w:rPr>
                <w:b/>
                <w:sz w:val="16"/>
                <w:u w:val="single"/>
              </w:rPr>
            </w:pPr>
            <w:r>
              <w:rPr>
                <w:b/>
                <w:sz w:val="16"/>
                <w:u w:val="single"/>
              </w:rPr>
              <w:t>Nombre d’ECTS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Introduction aux sciences humaines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ind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lang w:val="fr-BE"/>
              </w:rPr>
            </w:pPr>
            <w:r>
              <w:rPr>
                <w:lang w:val="fr-BE"/>
              </w:rPr>
              <w:t>962201U35D1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lang w:val="fr-BE"/>
              </w:rPr>
            </w:pPr>
            <w:r>
              <w:rPr>
                <w:lang w:val="fr-BE"/>
              </w:rPr>
              <w:t>902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Eléments de bureautique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ind w:right="-7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lang w:val="fr-BE"/>
              </w:rPr>
            </w:pPr>
            <w:r>
              <w:rPr>
                <w:lang w:val="fr-BE"/>
              </w:rPr>
              <w:t>725101U32D1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lang w:val="fr-BE"/>
              </w:rPr>
            </w:pPr>
            <w:r>
              <w:rPr>
                <w:lang w:val="fr-BE"/>
              </w:rPr>
              <w:t>702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Faits et institutions économiques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</w:rPr>
              <w:t>SEG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715101U32D2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333333"/>
                <w:lang w:val="fr-BE"/>
              </w:rPr>
            </w:pPr>
            <w:r>
              <w:rPr>
                <w:rFonts w:ascii="Arial" w:hAnsi="Arial" w:cs="Arial"/>
                <w:color w:val="333333"/>
                <w:lang w:val="fr-BE"/>
              </w:rPr>
              <w:t>702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Organisation des entreprises et éléments de management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</w:rPr>
              <w:t>SEG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lang w:val="fr-BE"/>
              </w:rPr>
            </w:pPr>
            <w:r>
              <w:rPr>
                <w:lang w:val="fr-BE"/>
              </w:rPr>
              <w:t xml:space="preserve">718211U32D2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333333"/>
                <w:lang w:val="fr-BE"/>
              </w:rPr>
            </w:pPr>
            <w:r>
              <w:rPr>
                <w:rFonts w:ascii="Arial" w:hAnsi="Arial" w:cs="Arial"/>
                <w:color w:val="333333"/>
                <w:lang w:val="fr-BE"/>
              </w:rPr>
              <w:t>702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Pratiques de comptabilité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lang w:val="nl-NL"/>
              </w:rPr>
            </w:pPr>
            <w:r>
              <w:rPr>
                <w:lang w:val="nl-NL"/>
              </w:rPr>
              <w:t>711202U32D1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702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80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7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Taxe sur la valeur ajoutée (T.V.A.)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</w:rPr>
              <w:t>SEG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color w:val="333333"/>
                <w:lang w:val="fr-BE"/>
              </w:rPr>
            </w:pPr>
            <w:r>
              <w:rPr>
                <w:color w:val="333333"/>
                <w:lang w:val="fr-BE"/>
              </w:rPr>
              <w:t xml:space="preserve">712301U32D2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333333"/>
                <w:lang w:val="fr-BE"/>
              </w:rPr>
            </w:pPr>
            <w:r>
              <w:rPr>
                <w:rFonts w:ascii="Arial" w:hAnsi="Arial" w:cs="Arial"/>
                <w:color w:val="333333"/>
                <w:lang w:val="fr-BE"/>
              </w:rPr>
              <w:t>702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Enregistrement et successions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</w:rPr>
              <w:t>SEG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color w:val="333333"/>
                <w:lang w:val="fr-BE"/>
              </w:rPr>
            </w:pPr>
            <w:r>
              <w:rPr>
                <w:color w:val="333333"/>
                <w:lang w:val="fr-BE"/>
              </w:rPr>
              <w:t>712304U32D2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rFonts w:ascii="Arial" w:hAnsi="Arial" w:cs="Arial"/>
                <w:color w:val="333333"/>
                <w:lang w:val="fr-BE"/>
              </w:rPr>
            </w:pPr>
            <w:r>
              <w:rPr>
                <w:rFonts w:ascii="Arial" w:hAnsi="Arial" w:cs="Arial"/>
                <w:color w:val="333333"/>
                <w:lang w:val="fr-BE"/>
              </w:rPr>
              <w:t>702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Bachelier : stage d’insertion socioprofessionnelle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SEG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</w:pPr>
            <w:r>
              <w:t>711102U32D1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240/20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Recherche, traitement et validation de l'information juridique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lang w:val="fr-BE"/>
              </w:rPr>
            </w:pPr>
            <w:r>
              <w:rPr>
                <w:lang w:val="fr-BE"/>
              </w:rPr>
              <w:t>713001U32D1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Rapports et correspondance juridique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  <w:lang w:val="fr-BE"/>
              </w:rPr>
            </w:pPr>
            <w:r>
              <w:rPr>
                <w:sz w:val="22"/>
                <w:szCs w:val="22"/>
              </w:rPr>
              <w:t>SEG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lang w:val="fr-BE"/>
              </w:rPr>
            </w:pPr>
            <w:r>
              <w:rPr>
                <w:lang w:val="fr-BE"/>
              </w:rPr>
              <w:t>713003U32D1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Droit constitutionnel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lang w:val="fr-BE"/>
              </w:rPr>
            </w:pPr>
            <w:r>
              <w:rPr>
                <w:lang w:val="fr-BE"/>
              </w:rPr>
              <w:t>713802U32D1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Droit civil : les personnes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lang w:val="fr-BE"/>
              </w:rPr>
            </w:pPr>
            <w:r>
              <w:rPr>
                <w:lang w:val="fr-BE"/>
              </w:rPr>
              <w:t>713202U32D1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Droit civil : les biens et les obligations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lang w:val="fr-BE"/>
              </w:rPr>
            </w:pPr>
            <w:r>
              <w:rPr>
                <w:lang w:val="fr-BE"/>
              </w:rPr>
              <w:t>713203U32D1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Théorie et pratique de la médiation dans le cadre judiciaire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713006U32D1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Législation et droit commercial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lang w:val="fr-BE"/>
              </w:rPr>
            </w:pPr>
            <w:r>
              <w:rPr>
                <w:lang w:val="fr-BE"/>
              </w:rPr>
              <w:t>713302U32D1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lang w:val="fr-BE"/>
              </w:rPr>
            </w:pPr>
            <w:r>
              <w:rPr>
                <w:lang w:val="fr-BE"/>
              </w:rPr>
              <w:t>703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Droit administratif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lang w:val="fr-BE"/>
              </w:rPr>
            </w:pPr>
            <w:r>
              <w:rPr>
                <w:lang w:val="fr-BE"/>
              </w:rPr>
              <w:t>713803U32D1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lang w:val="fr-BE"/>
              </w:rPr>
            </w:pPr>
            <w:r>
              <w:rPr>
                <w:lang w:val="fr-BE"/>
              </w:rPr>
              <w:t>703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Droit fiscal: notions de fiscalité directe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lang w:val="fr-BE"/>
              </w:rPr>
            </w:pPr>
            <w:r>
              <w:rPr>
                <w:lang w:val="fr-BE"/>
              </w:rPr>
              <w:t>712204U32D1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Droit pénal et droit judiciaire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713701U32D1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Droit du travail et de la sécurité sociale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lang w:val="fr-BE"/>
              </w:rPr>
            </w:pPr>
            <w:r>
              <w:rPr>
                <w:lang w:val="fr-BE"/>
              </w:rPr>
              <w:t>713402U32D1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lang w:val="fr-BE"/>
              </w:rPr>
            </w:pPr>
            <w:r>
              <w:rPr>
                <w:lang w:val="fr-BE"/>
              </w:rPr>
              <w:t>703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Droit international et européen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</w:pPr>
            <w:r>
              <w:rPr>
                <w:sz w:val="22"/>
                <w:szCs w:val="22"/>
              </w:rPr>
              <w:t>SJ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lang w:val="fr-BE"/>
              </w:rPr>
            </w:pPr>
            <w:r>
              <w:rPr>
                <w:lang w:val="fr-BE"/>
              </w:rPr>
              <w:t>713502U32D1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lang w:val="fr-BE"/>
              </w:rPr>
            </w:pPr>
            <w:r>
              <w:rPr>
                <w:lang w:val="fr-BE"/>
              </w:rPr>
              <w:t>703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Droit des affaires et des assurances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jc w:val="center"/>
            </w:pPr>
            <w:r>
              <w:rPr>
                <w:sz w:val="22"/>
                <w:szCs w:val="22"/>
              </w:rPr>
              <w:t>SJ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713303U32D1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Néerlandais en situation appliqué à l'enseignement supérieur UE1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730191U32D2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Néerlandais en situation appliqué à l'enseignement supérieur UE 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730192U32D2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Néerlandais en situation appliqué à l'enseignement supérieur UE3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730193U32D2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cantSplit/>
        </w:trPr>
        <w:tc>
          <w:tcPr>
            <w:tcW w:w="91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Anglais en situation appliqué à</w:t>
            </w:r>
          </w:p>
          <w:p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l'enseignement supérieur UE1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730291U32D2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auto"/>
            </w:tcBorders>
          </w:tcPr>
          <w:p>
            <w:pPr>
              <w:pStyle w:val="Contenudetableau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Anglais en situation appliqué à</w:t>
            </w:r>
          </w:p>
          <w:p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l'enseignement supérieur UE2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730292U32D2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cantSplit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Contenudetableau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Anglais en situation appliqué à </w:t>
            </w:r>
          </w:p>
          <w:p>
            <w:pPr>
              <w:pStyle w:val="Contenudetableau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l'enseignement supérieur UE3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730293U32D2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cantSplit/>
        </w:trPr>
        <w:tc>
          <w:tcPr>
            <w:tcW w:w="91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Allemand en situation appliqué à l'enseignement supérieur UE1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730391U32D2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Allemand en situation appliqué à l'enseignement supérieur UE2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730392U32D2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Allemand en situation appliqué à l'enseignement supérieur UE 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LLT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730393U32D2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Déontologie dans l’exercice des professions juridiques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lang w:val="fr-BE"/>
              </w:rPr>
            </w:pPr>
            <w:r>
              <w:rPr>
                <w:lang w:val="fr-BE"/>
              </w:rPr>
              <w:t>713002U32D1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Stage d'intégration professionnelle : bachelier en droit 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713102U32D1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120/20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cantSplit/>
        </w:trPr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Retraitcorpsdetexte2"/>
              <w:snapToGrid w:val="0"/>
              <w:ind w:left="0"/>
              <w:rPr>
                <w:i w:val="0"/>
                <w:szCs w:val="22"/>
              </w:rPr>
            </w:pPr>
            <w:r>
              <w:rPr>
                <w:i w:val="0"/>
                <w:szCs w:val="22"/>
              </w:rPr>
              <w:t xml:space="preserve">Epreuve intégrée de la section : Bachelier en droit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SJ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>713100U32D1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right="3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160/20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napToGrid w:val="0"/>
              <w:ind w:right="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</w:tbl>
    <w:p>
      <w:pPr>
        <w:rPr>
          <w:lang w:val="fr-BE"/>
        </w:rPr>
      </w:pPr>
    </w:p>
    <w:p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1415"/>
      </w:tblGrid>
      <w:tr>
        <w:trPr>
          <w:cantSplit/>
        </w:trPr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TOTAL DES PERIODES DE LA SECTION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snapToGrid w:val="0"/>
            </w:pPr>
          </w:p>
        </w:tc>
      </w:tr>
      <w:tr>
        <w:trPr>
          <w:cantSplit/>
        </w:trPr>
        <w:tc>
          <w:tcPr>
            <w:tcW w:w="4358" w:type="dxa"/>
            <w:tcBorders>
              <w:left w:val="single" w:sz="8" w:space="0" w:color="000000"/>
              <w:bottom w:val="single" w:sz="4" w:space="0" w:color="000000"/>
            </w:tcBorders>
          </w:tcPr>
          <w:p>
            <w:pPr>
              <w:snapToGrid w:val="0"/>
            </w:pPr>
            <w:r>
              <w:t>A) nombre de périodes suivies par l'étudiant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snapToGrid w:val="0"/>
              <w:ind w:right="358"/>
              <w:jc w:val="center"/>
            </w:pPr>
            <w:r>
              <w:t>2262</w:t>
            </w:r>
          </w:p>
        </w:tc>
      </w:tr>
      <w:tr>
        <w:trPr>
          <w:cantSplit/>
        </w:trPr>
        <w:tc>
          <w:tcPr>
            <w:tcW w:w="4358" w:type="dxa"/>
            <w:tcBorders>
              <w:left w:val="single" w:sz="8" w:space="0" w:color="000000"/>
              <w:bottom w:val="single" w:sz="4" w:space="0" w:color="auto"/>
            </w:tcBorders>
          </w:tcPr>
          <w:p>
            <w:pPr>
              <w:snapToGrid w:val="0"/>
            </w:pPr>
            <w:r>
              <w:t>B) nombre de périodes professeur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>
            <w:pPr>
              <w:snapToGrid w:val="0"/>
              <w:ind w:right="358"/>
              <w:jc w:val="center"/>
            </w:pPr>
            <w:r>
              <w:t>1802</w:t>
            </w:r>
          </w:p>
        </w:tc>
      </w:tr>
      <w:tr>
        <w:trPr>
          <w:cantSplit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</w:pPr>
            <w:r>
              <w:t>C) nombre d’ECTS suivies par l'étudiant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napToGrid w:val="0"/>
              <w:ind w:right="358"/>
              <w:jc w:val="center"/>
              <w:rPr>
                <w:b/>
                <w:color w:val="339966"/>
              </w:rPr>
            </w:pPr>
            <w:r>
              <w:t xml:space="preserve">180 </w:t>
            </w:r>
          </w:p>
        </w:tc>
      </w:tr>
    </w:tbl>
    <w:p>
      <w:pPr>
        <w:rPr>
          <w:lang w:val="fr-BE"/>
        </w:rPr>
      </w:pPr>
      <w:r>
        <w:pict>
          <v:line id="_x0000_s1028" style="position:absolute;z-index:3;mso-position-horizontal-relative:text;mso-position-vertical-relative:text" from="0,7in" to="0,7in" strokeweight=".26mm">
            <v:stroke joinstyle="miter"/>
          </v:line>
        </w:pict>
      </w:r>
      <w:r>
        <w:pict>
          <v:line id="_x0000_s1029" style="position:absolute;z-index:4;mso-position-horizontal-relative:text;mso-position-vertical-relative:text" from="79.6pt,5.9pt" to="79.6pt,5.9pt" strokeweight=".26mm">
            <v:stroke joinstyle="miter"/>
          </v:line>
        </w:pict>
      </w:r>
    </w:p>
    <w:p>
      <w:pPr>
        <w:rPr>
          <w:lang w:val="fr-BE"/>
        </w:rPr>
      </w:pPr>
      <w:r>
        <w:pict>
          <v:line id="_x0000_s1026" style="position:absolute;z-index:1" from="0,7in" to="0,7in" strokeweight=".26mm">
            <v:stroke joinstyle="miter"/>
          </v:line>
        </w:pict>
      </w:r>
      <w:r>
        <w:pict>
          <v:line id="_x0000_s1027" style="position:absolute;z-index:2" from="79.6pt,5.9pt" to="79.6pt,5.9pt" strokeweight=".26mm">
            <v:stroke joinstyle="miter"/>
          </v:line>
        </w:pict>
      </w:r>
    </w:p>
    <w:p/>
    <w:p/>
    <w:p/>
    <w:p/>
    <w:p/>
    <w:p/>
    <w:p/>
    <w:p/>
    <w:p/>
    <w:p/>
    <w:p/>
    <w:p/>
    <w:p/>
    <w:p/>
    <w:p>
      <w:pPr>
        <w:sectPr>
          <w:footerReference w:type="default" r:id="rId8"/>
          <w:pgSz w:w="11905" w:h="16837"/>
          <w:pgMar w:top="1469" w:right="1729" w:bottom="1729" w:left="1729" w:header="720" w:footer="1582" w:gutter="0"/>
          <w:cols w:space="720"/>
          <w:titlePg/>
          <w:docGrid w:linePitch="360"/>
        </w:sectPr>
      </w:pPr>
    </w:p>
    <w:p>
      <w:pPr>
        <w:rPr>
          <w:b/>
          <w:sz w:val="22"/>
          <w:szCs w:val="22"/>
        </w:rPr>
      </w:pPr>
      <w:r>
        <w:lastRenderedPageBreak/>
        <w:pict>
          <v:rect id="_x0000_s1082" style="position:absolute;margin-left:-29.5pt;margin-top:-40.95pt;width:396.6pt;height:40.9pt;z-index:56" stroked="f">
            <v:textbox style="mso-next-textbox:#_x0000_s1082">
              <w:txbxContent>
                <w:p>
                  <w:pPr>
                    <w:rPr>
                      <w:b/>
                      <w:sz w:val="28"/>
                      <w:szCs w:val="28"/>
                      <w:lang w:val="fr-BE"/>
                    </w:rPr>
                  </w:pPr>
                  <w:r>
                    <w:rPr>
                      <w:b/>
                      <w:sz w:val="28"/>
                      <w:szCs w:val="28"/>
                      <w:lang w:val="fr-BE"/>
                    </w:rPr>
                    <w:t>3.  MODALITES DE CAPITALISATION</w:t>
                  </w:r>
                </w:p>
                <w:p/>
              </w:txbxContent>
            </v:textbox>
          </v:rect>
        </w:pict>
      </w:r>
      <w:r>
        <w:pict>
          <v:rect id="_x0000_s1081" style="position:absolute;margin-left:368.9pt;margin-top:45.35pt;width:94.2pt;height:63.75pt;z-index:55">
            <v:textbox style="mso-next-textbox:#_x0000_s1081">
              <w:txbxContent>
                <w:p>
                  <w:pPr>
                    <w:rPr>
                      <w:lang w:val="fr-BE"/>
                    </w:rPr>
                  </w:pPr>
                  <w:r>
                    <w:rPr>
                      <w:sz w:val="18"/>
                      <w:szCs w:val="18"/>
                      <w:lang w:val="fr-BE"/>
                    </w:rPr>
                    <w:t>Recherche, traitement et validation de l’information</w:t>
                  </w:r>
                  <w:r>
                    <w:rPr>
                      <w:lang w:val="fr-BE"/>
                    </w:rPr>
                    <w:t xml:space="preserve"> juridique</w:t>
                  </w:r>
                </w:p>
                <w:p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40 p</w:t>
                  </w:r>
                </w:p>
              </w:txbxContent>
            </v:textbox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-27.7pt;margin-top:376.1pt;width:445.7pt;height:35.4pt;z-index:37" o:allowincell="f">
            <v:textbox style="mso-next-textbox:#_x0000_s1063">
              <w:txbxContent>
                <w:p>
                  <w:pPr>
                    <w:jc w:val="center"/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Stage d’intégration professionnelle : Bachelier en droit</w:t>
                  </w:r>
                </w:p>
                <w:p>
                  <w:pPr>
                    <w:jc w:val="center"/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120/20 périodes</w:t>
                  </w:r>
                </w:p>
                <w:p>
                  <w:pPr>
                    <w:jc w:val="center"/>
                    <w:rPr>
                      <w:sz w:val="18"/>
                      <w:lang w:val="fr-BE"/>
                    </w:rPr>
                  </w:pPr>
                </w:p>
              </w:txbxContent>
            </v:textbox>
            <w10:wrap type="square"/>
          </v:shape>
        </w:pict>
      </w:r>
      <w:r>
        <w:pict>
          <v:rect id="_x0000_s1091" style="position:absolute;margin-left:371.9pt;margin-top:161.4pt;width:96.6pt;height:51.6pt;z-index:65" strokeweight="1.5pt">
            <v:textbox style="mso-next-textbox:#_x0000_s1091">
              <w:txbxContent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 xml:space="preserve">Rapports et correspondance juridique </w:t>
                  </w:r>
                </w:p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60p</w:t>
                  </w:r>
                </w:p>
                <w:p/>
              </w:txbxContent>
            </v:textbox>
          </v:rect>
        </w:pict>
      </w:r>
      <w:r>
        <w:pict>
          <v:rect id="_x0000_s1090" style="position:absolute;margin-left:634.1pt;margin-top:103.2pt;width:100.2pt;height:45pt;z-index:64" strokeweight="1.5pt">
            <v:textbox style="mso-next-textbox:#_x0000_s1090">
              <w:txbxContent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Droit fiscal : notion de fiscalité directe</w:t>
                  </w:r>
                </w:p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80p</w:t>
                  </w:r>
                </w:p>
                <w:p/>
              </w:txbxContent>
            </v:textbox>
          </v:rect>
        </w:pict>
      </w:r>
      <w:r>
        <w:pict>
          <v:rect id="_x0000_s1089" style="position:absolute;margin-left:513.5pt;margin-top:164.4pt;width:96pt;height:45.5pt;z-index:63" strokeweight=".25pt">
            <v:textbox style="mso-next-textbox:#_x0000_s1089">
              <w:txbxContent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Législation et droit commercial</w:t>
                  </w:r>
                </w:p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80p</w:t>
                  </w:r>
                </w:p>
                <w:p/>
              </w:txbxContent>
            </v:textbox>
          </v:rect>
        </w:pict>
      </w:r>
      <w:r>
        <w:pict>
          <v:rect id="_x0000_s1088" style="position:absolute;margin-left:512.9pt;margin-top:102.5pt;width:97.2pt;height:43.9pt;z-index:62" strokeweight="1.5pt">
            <v:textbox style="mso-next-textbox:#_x0000_s1088">
              <w:txbxContent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 xml:space="preserve">Droit du travail et de la sécurité sociale </w:t>
                  </w:r>
                </w:p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 xml:space="preserve">120 p </w:t>
                  </w:r>
                </w:p>
                <w:p/>
              </w:txbxContent>
            </v:textbox>
          </v:rect>
        </w:pict>
      </w:r>
      <w:r>
        <w:pict>
          <v:rect id="_x0000_s1087" style="position:absolute;margin-left:511.7pt;margin-top:37.1pt;width:99pt;height:43.9pt;z-index:61" strokeweight="1.5pt">
            <v:textbox style="mso-next-textbox:#_x0000_s1087">
              <w:txbxContent>
                <w:p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Droit administratif</w:t>
                  </w:r>
                </w:p>
                <w:p>
                  <w:pPr>
                    <w:rPr>
                      <w:shadow/>
                      <w:lang w:val="fr-BE"/>
                    </w:rPr>
                  </w:pPr>
                  <w:r>
                    <w:rPr>
                      <w:lang w:val="fr-BE"/>
                    </w:rPr>
                    <w:t xml:space="preserve">80p </w:t>
                  </w:r>
                </w:p>
                <w:p/>
              </w:txbxContent>
            </v:textbox>
          </v:rect>
        </w:pict>
      </w:r>
      <w:r>
        <w:pict>
          <v:rect id="_x0000_s1086" style="position:absolute;margin-left:-4.9pt;margin-top:231.5pt;width:91.8pt;height:48.1pt;z-index:60" strokeweight="1.5pt">
            <v:textbox style="mso-next-textbox:#_x0000_s1086">
              <w:txbxContent>
                <w:p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Droit pénal et droit judiciaire</w:t>
                  </w:r>
                </w:p>
                <w:p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100p </w:t>
                  </w:r>
                </w:p>
                <w:p/>
              </w:txbxContent>
            </v:textbox>
          </v:rect>
        </w:pict>
      </w:r>
      <w:r>
        <w:pict>
          <v:rect id="_x0000_s1085" style="position:absolute;margin-left:188.9pt;margin-top:159.5pt;width:106.8pt;height:33.7pt;z-index:59" strokeweight="1.5pt">
            <v:textbox style="mso-next-textbox:#_x0000_s1085">
              <w:txbxContent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 xml:space="preserve">Droit international et européen 70 p </w:t>
                  </w:r>
                </w:p>
                <w:p/>
              </w:txbxContent>
            </v:textbox>
          </v:rect>
        </w:pict>
      </w:r>
      <w:r>
        <w:pict>
          <v:rect id="_x0000_s1084" style="position:absolute;margin-left:37.7pt;margin-top:160.8pt;width:106.8pt;height:57.6pt;z-index:58" strokeweight="1.5pt">
            <v:textbox style="mso-next-textbox:#_x0000_s1084">
              <w:txbxContent>
                <w:p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Déontologie dans l’exercice des professions juridiques</w:t>
                  </w:r>
                </w:p>
                <w:p>
                  <w:pPr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20 p</w:t>
                  </w:r>
                </w:p>
              </w:txbxContent>
            </v:textbox>
          </v:rect>
        </w:pict>
      </w:r>
      <w:r>
        <w:pict>
          <v:rect id="_x0000_s1079" style="position:absolute;margin-left:247.1pt;margin-top:57.95pt;width:91.8pt;height:43.95pt;z-index:53" strokeweight="1.5pt">
            <v:textbox style="mso-next-textbox:#_x0000_s1079">
              <w:txbxContent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Droit Civil :</w:t>
                  </w:r>
                </w:p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 xml:space="preserve">les personnes  </w:t>
                  </w:r>
                </w:p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70p</w:t>
                  </w:r>
                </w:p>
                <w:p/>
              </w:txbxContent>
            </v:textbox>
          </v:rect>
        </w:pict>
      </w:r>
      <w:r>
        <w:pict>
          <v:rect id="_x0000_s1078" style="position:absolute;margin-left:-.1pt;margin-top:56.75pt;width:109.2pt;height:52.35pt;z-index:52" strokeweight="1.5pt">
            <v:textbox style="mso-next-textbox:#_x0000_s1078">
              <w:txbxContent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Droit Civil : les biens et les obligions</w:t>
                  </w:r>
                </w:p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 xml:space="preserve">110 p </w:t>
                  </w:r>
                </w:p>
                <w:p/>
              </w:txbxContent>
            </v:textbox>
          </v:rect>
        </w:pict>
      </w:r>
      <w:r>
        <w:pict>
          <v:rect id="_x0000_s1080" style="position:absolute;margin-left:128.9pt;margin-top:58.7pt;width:93pt;height:35.25pt;z-index:54">
            <v:textbox style="mso-next-textbox:#_x0000_s1080">
              <w:txbxContent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Droit Constitutionnel</w:t>
                  </w:r>
                </w:p>
                <w:p>
                  <w:r>
                    <w:t>60 p</w:t>
                  </w:r>
                </w:p>
              </w:txbxContent>
            </v:textbox>
          </v:rect>
        </w:pict>
      </w:r>
      <w:r>
        <w:pict>
          <v:line id="_x0000_s1049" style="position:absolute;z-index:23" from="548.3pt,209.9pt" to="548.3pt,238.7pt" o:allowincell="f">
            <v:stroke endarrow="block"/>
          </v:line>
        </w:pict>
      </w:r>
      <w:r>
        <w:pict>
          <v:shape id="_x0000_s1034" type="#_x0000_t202" style="position:absolute;margin-left:512.3pt;margin-top:238.7pt;width:99pt;height:43.2pt;z-index:8" o:allowincell="f">
            <v:textbox style="mso-next-textbox:#_x0000_s1034">
              <w:txbxContent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Droit des affaires et des assurances</w:t>
                  </w:r>
                </w:p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 xml:space="preserve">160p </w:t>
                  </w:r>
                </w:p>
              </w:txbxContent>
            </v:textbox>
          </v:shape>
        </w:pict>
      </w:r>
      <w:r>
        <w:pict>
          <v:shape id="_x0000_s1077" type="#_x0000_t202" style="position:absolute;margin-left:368.3pt;margin-top:231.5pt;width:99pt;height:50.4pt;z-index:51" o:allowincell="f">
            <v:textbox style="mso-next-textbox:#_x0000_s1077">
              <w:txbxContent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Organisation des entreprises et éléments de management</w:t>
                  </w:r>
                </w:p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 xml:space="preserve">160p </w:t>
                  </w:r>
                </w:p>
              </w:txbxContent>
            </v:textbox>
          </v:shape>
        </w:pict>
      </w:r>
      <w:r>
        <w:pict>
          <v:line id="_x0000_s1050" style="position:absolute;z-index:24" from="411.5pt,109.1pt" to="411.5pt,159.5pt" o:allowincell="f">
            <v:stroke endarrow="block"/>
          </v:line>
        </w:pict>
      </w:r>
      <w:r>
        <w:pict>
          <v:line id="_x0000_s1076" style="position:absolute;z-index:50" from="-20.5pt,260.3pt" to="-20.5pt,375.5pt" o:allowincell="f">
            <v:stroke endarrow="block"/>
          </v:line>
        </w:pict>
      </w:r>
      <w:r>
        <w:pict>
          <v:line id="_x0000_s1075" style="position:absolute;flip:x;z-index:49" from="-20.5pt,260.3pt" to="-6.1pt,260.3pt" o:allowincell="f"/>
        </w:pict>
      </w:r>
      <w:r>
        <w:pict>
          <v:line id="_x0000_s1074" style="position:absolute;z-index:48" from="37.1pt,353.9pt" to="37.1pt,375.5pt" o:allowincell="f">
            <v:stroke endarrow="block"/>
          </v:line>
        </w:pict>
      </w:r>
      <w:r>
        <w:pict>
          <v:line id="_x0000_s1073" style="position:absolute;z-index:47" from="353.9pt,80.3pt" to="353.9pt,375.5pt" o:allowincell="f">
            <v:stroke endarrow="block"/>
          </v:line>
        </w:pict>
      </w:r>
      <w:r>
        <w:pict>
          <v:line id="_x0000_s1072" style="position:absolute;flip:x;z-index:46" from="353.9pt,80.3pt" to="368.3pt,80.3pt" o:allowincell="f"/>
        </w:pict>
      </w:r>
      <w:r>
        <w:pict>
          <v:shape id="_x0000_s1065" type="#_x0000_t202" style="position:absolute;margin-left:240.5pt;margin-top:310.7pt;width:99pt;height:43.2pt;z-index:39" o:allowincell="f">
            <v:textbox style="mso-next-textbox:#_x0000_s1065">
              <w:txbxContent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Faits et institutions économiques</w:t>
                  </w:r>
                </w:p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60p</w:t>
                  </w:r>
                </w:p>
              </w:txbxContent>
            </v:textbox>
          </v:shape>
        </w:pict>
      </w:r>
      <w:r>
        <w:pict>
          <v:shape id="_x0000_s1064" type="#_x0000_t202" style="position:absolute;margin-left:116.3pt;margin-top:325.1pt;width:99pt;height:28.8pt;z-index:38" o:allowincell="f">
            <v:textbox style="mso-next-textbox:#_x0000_s1064">
              <w:txbxContent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TVA</w:t>
                  </w:r>
                </w:p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40p</w:t>
                  </w:r>
                </w:p>
              </w:txbxContent>
            </v:textbox>
          </v:shape>
        </w:pict>
      </w:r>
      <w:r>
        <w:pict>
          <v:shape id="_x0000_s1062" type="#_x0000_t202" style="position:absolute;margin-left:-4.3pt;margin-top:310.7pt;width:99pt;height:43.2pt;z-index:36" o:allowincell="f">
            <v:textbox style="mso-next-textbox:#_x0000_s1062">
              <w:txbxContent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Stage d’insertion socioprofessionnelle</w:t>
                  </w:r>
                </w:p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240p/20p</w:t>
                  </w:r>
                </w:p>
              </w:txbxContent>
            </v:textbox>
          </v:shape>
        </w:pict>
      </w:r>
      <w:r>
        <w:pict>
          <v:shape id="_x0000_s1069" type="#_x0000_t202" style="position:absolute;margin-left:634.7pt;margin-top:238.7pt;width:99pt;height:43.2pt;z-index:43" o:allowincell="f">
            <v:textbox style="mso-next-textbox:#_x0000_s1069">
              <w:txbxContent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Introduction aux sciences humaines</w:t>
                  </w:r>
                </w:p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40p</w:t>
                  </w:r>
                </w:p>
                <w:p>
                  <w:pPr>
                    <w:rPr>
                      <w:sz w:val="18"/>
                      <w:lang w:val="fr-BE"/>
                    </w:rPr>
                  </w:pPr>
                </w:p>
              </w:txbxContent>
            </v:textbox>
          </v:shape>
        </w:pict>
      </w:r>
      <w:r>
        <w:pict>
          <v:line id="_x0000_s1071" style="position:absolute;z-index:45" from="-27.7pt,245.9pt" to="-6.1pt,245.9pt" o:allowincell="f">
            <v:stroke endarrow="block"/>
          </v:line>
        </w:pict>
      </w:r>
      <w:r>
        <w:pict>
          <v:line id="_x0000_s1070" style="position:absolute;z-index:44" from="-27.7pt,15.5pt" to="-27.7pt,245.9pt" o:allowincell="f" strokeweight=".5pt">
            <v:shadow type="perspective" color="#7f7f7f" opacity=".5" offset="1pt" offset2="-1pt"/>
          </v:line>
        </w:pict>
      </w:r>
      <w:r>
        <w:pict>
          <v:line id="_x0000_s1054" style="position:absolute;flip:x;z-index:28" from="-27.7pt,15.5pt" to="281.9pt,15.5pt" o:allowincell="f" strokeweight=".5pt">
            <v:shadow type="perspective" color="#7f7f7f" opacity=".5" offset="1pt" offset2="-1pt"/>
          </v:line>
        </w:pict>
      </w:r>
      <w:r>
        <w:pict>
          <v:line id="_x0000_s1055" style="position:absolute;flip:y;z-index:29" from="44.3pt,15.5pt" to="44.3pt,58.7pt" o:allowincell="f" strokeweight=".5pt">
            <v:shadow type="perspective" color="#7f7f7f" opacity=".5" offset="1pt" offset2="-1pt"/>
          </v:line>
        </w:pict>
      </w:r>
      <w:r>
        <w:pict>
          <v:line id="_x0000_s1037" style="position:absolute;z-index:11" from="37.1pt,137.9pt" to="404.3pt,137.9pt" o:allowincell="f"/>
        </w:pict>
      </w:r>
      <w:r>
        <w:pict>
          <v:line id="_x0000_s1033" style="position:absolute;z-index:7" from="37.1pt,109.1pt" to="37.1pt,137.9pt" o:allowincell="f"/>
        </w:pict>
      </w:r>
      <w:r>
        <w:pict>
          <v:line id="_x0000_s1038" style="position:absolute;z-index:12" from="159.5pt,94.7pt" to="159.5pt,137.9pt" o:allowincell="f"/>
        </w:pict>
      </w:r>
      <w:r>
        <w:pict>
          <v:line id="_x0000_s1056" style="position:absolute;flip:y;z-index:30" from="173.9pt,15.5pt" to="173.9pt,58.7pt" o:allowincell="f"/>
        </w:pict>
      </w:r>
      <w:r>
        <w:pict>
          <v:line id="_x0000_s1039" style="position:absolute;z-index:13" from="274.7pt,101.9pt" to="274.7pt,137.9pt" o:allowincell="f"/>
        </w:pict>
      </w:r>
      <w:r>
        <w:pict>
          <v:shape id="_x0000_s1068" type="#_x0000_t202" style="position:absolute;margin-left:634.7pt;margin-top:173.9pt;width:99pt;height:43.2pt;z-index:42" o:allowincell="f">
            <v:textbox style="mso-next-textbox:#_x0000_s1068">
              <w:txbxContent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Eléments de bureautique</w:t>
                  </w:r>
                </w:p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80p</w:t>
                  </w:r>
                </w:p>
              </w:txbxContent>
            </v:textbox>
          </v:shape>
        </w:pict>
      </w:r>
      <w:r>
        <w:pict>
          <v:line id="_x0000_s1067" style="position:absolute;z-index:41" from="677.9pt,73.1pt" to="677.9pt,101.9pt" o:allowincell="f">
            <v:stroke endarrow="block"/>
          </v:line>
        </w:pict>
      </w:r>
      <w:r>
        <w:pict>
          <v:shape id="_x0000_s1066" type="#_x0000_t202" style="position:absolute;margin-left:634.7pt;margin-top:29.9pt;width:99pt;height:43.2pt;z-index:40" o:allowincell="f">
            <v:textbox style="mso-next-textbox:#_x0000_s1066">
              <w:txbxContent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Pratique de comptabilité</w:t>
                  </w:r>
                </w:p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80p</w:t>
                  </w:r>
                </w:p>
              </w:txbxContent>
            </v:textbox>
          </v:shape>
        </w:pict>
      </w:r>
      <w:r>
        <w:pict>
          <v:line id="_x0000_s1061" style="position:absolute;z-index:35" from="622.1pt,354pt" to="640.1pt,354pt" o:allowincell="f">
            <v:stroke endarrow="block"/>
          </v:line>
        </w:pict>
      </w:r>
      <w:r>
        <w:pict>
          <v:line id="_x0000_s1060" style="position:absolute;z-index:34" from="523.1pt,354pt" to="541.1pt,354pt" o:allowincell="f">
            <v:stroke endarrow="block"/>
          </v:line>
        </w:pict>
      </w:r>
      <w:r>
        <w:pict>
          <v:shape id="_x0000_s1059" type="#_x0000_t202" style="position:absolute;margin-left:641.2pt;margin-top:327pt;width:81pt;height:70.05pt;z-index:33" o:allowincell="f">
            <v:textbox style="mso-next-textbox:#_x0000_s1059">
              <w:txbxContent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 xml:space="preserve">Langue en situation appliquée à l’enseignement supérieur : </w:t>
                  </w:r>
                </w:p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 xml:space="preserve">UE3 80 p </w:t>
                  </w:r>
                </w:p>
              </w:txbxContent>
            </v:textbox>
          </v:shape>
        </w:pict>
      </w:r>
      <w:r>
        <w:pict>
          <v:shape id="_x0000_s1058" type="#_x0000_t202" style="position:absolute;margin-left:542.2pt;margin-top:327pt;width:81pt;height:1in;z-index:32" o:allowincell="f">
            <v:textbox style="mso-next-textbox:#_x0000_s1058">
              <w:txbxContent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 xml:space="preserve">Langue en situation appliquée à l’enseignement supérieur : </w:t>
                  </w:r>
                </w:p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 xml:space="preserve">UE2 80 p </w:t>
                  </w:r>
                </w:p>
              </w:txbxContent>
            </v:textbox>
          </v:shape>
        </w:pict>
      </w:r>
      <w:r>
        <w:pict>
          <v:shape id="_x0000_s1057" type="#_x0000_t202" style="position:absolute;margin-left:443.2pt;margin-top:327pt;width:81pt;height:70.05pt;z-index:31" o:allowincell="f">
            <v:textbox style="mso-next-textbox:#_x0000_s1057">
              <w:txbxContent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 xml:space="preserve">Langue en situation appliquée à l’enseignement supérieur : </w:t>
                  </w:r>
                </w:p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 xml:space="preserve">UE1 80 p </w:t>
                  </w:r>
                </w:p>
              </w:txbxContent>
            </v:textbox>
          </v:shape>
        </w:pict>
      </w:r>
      <w:r>
        <w:pict>
          <v:line id="_x0000_s1053" style="position:absolute;flip:y;z-index:27" from="281.9pt,15.5pt" to="281.9pt,58.7pt" o:allowincell="f"/>
        </w:pict>
      </w:r>
      <w:r>
        <w:pict>
          <v:line id="_x0000_s1052" style="position:absolute;z-index:26" from="188.3pt,209.9pt" to="188.3pt,231.5pt" o:allowincell="f">
            <v:stroke endarrow="block"/>
          </v:line>
        </w:pict>
      </w:r>
      <w:r>
        <w:pict>
          <v:line id="_x0000_s1051" style="position:absolute;flip:x;z-index:25" from="188.3pt,209.9pt" to="325.1pt,209.9pt" o:allowincell="f"/>
        </w:pict>
      </w:r>
      <w:r>
        <w:pict>
          <v:shape id="_x0000_s1035" type="#_x0000_t202" style="position:absolute;margin-left:116.3pt;margin-top:231.5pt;width:99pt;height:50.4pt;z-index:9" o:allowincell="f">
            <v:textbox style="mso-next-textbox:#_x0000_s1035">
              <w:txbxContent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 xml:space="preserve">Théorie et pratique de la médiation dans le cadre judiciaire </w:t>
                  </w:r>
                </w:p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72p</w:t>
                  </w:r>
                </w:p>
              </w:txbxContent>
            </v:textbox>
          </v:shape>
        </w:pict>
      </w:r>
      <w:r>
        <w:pict>
          <v:line id="_x0000_s1031" style="position:absolute;z-index:5" from="325.1pt,101.9pt" to="325.1pt,231.5pt" o:allowincell="f">
            <v:stroke endarrow="block"/>
          </v:line>
        </w:pict>
      </w:r>
      <w:r>
        <w:pict>
          <v:shape id="_x0000_s1036" type="#_x0000_t202" style="position:absolute;margin-left:238.7pt;margin-top:231.5pt;width:99pt;height:36pt;z-index:10" o:allowincell="f">
            <v:textbox style="mso-next-textbox:#_x0000_s1036">
              <w:txbxContent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Enregistrement et successions</w:t>
                  </w:r>
                </w:p>
                <w:p>
                  <w:pPr>
                    <w:rPr>
                      <w:sz w:val="18"/>
                      <w:lang w:val="fr-BE"/>
                    </w:rPr>
                  </w:pPr>
                  <w:r>
                    <w:rPr>
                      <w:sz w:val="18"/>
                      <w:lang w:val="fr-BE"/>
                    </w:rPr>
                    <w:t>40p</w:t>
                  </w:r>
                </w:p>
              </w:txbxContent>
            </v:textbox>
          </v:shape>
        </w:pict>
      </w:r>
      <w:r>
        <w:pict>
          <v:line id="_x0000_s1040" style="position:absolute;z-index:14" from="404.3pt,109.1pt" to="404.3pt,137.9pt" o:allowincell="f"/>
        </w:pict>
      </w:r>
      <w:r>
        <w:pict>
          <v:line id="_x0000_s1032" style="position:absolute;z-index:6" from="461.9pt,80.3pt" to="490.7pt,80.3pt" o:allowincell="f"/>
        </w:pict>
      </w:r>
      <w:r>
        <w:pict>
          <v:line id="_x0000_s1048" style="position:absolute;z-index:22" from="490.7pt,195.5pt" to="512.3pt,195.5pt" o:allowincell="f">
            <v:stroke endarrow="block"/>
          </v:line>
        </w:pict>
      </w:r>
      <w:r>
        <w:pict>
          <v:line id="_x0000_s1047" style="position:absolute;z-index:21" from="490.7pt,123.5pt" to="512.3pt,123.5pt" o:allowincell="f">
            <v:stroke endarrow="block"/>
          </v:line>
        </w:pict>
      </w:r>
      <w:r>
        <w:pict>
          <v:line id="_x0000_s1046" style="position:absolute;z-index:20" from="490.7pt,51.5pt" to="512.3pt,51.5pt" o:allowincell="f">
            <v:stroke endarrow="block"/>
          </v:line>
        </w:pict>
      </w:r>
      <w:r>
        <w:pict>
          <v:line id="_x0000_s1045" style="position:absolute;z-index:19" from="15.5pt,37.1pt" to="15.5pt,58.7pt" o:allowincell="f"/>
        </w:pict>
      </w:r>
      <w:r>
        <w:pict>
          <v:line id="_x0000_s1044" style="position:absolute;flip:x;z-index:18" from="15.5pt,37.1pt" to="490.7pt,37.1pt" o:allowincell="f"/>
        </w:pict>
      </w:r>
      <w:r>
        <w:pict>
          <v:line id="_x0000_s1043" style="position:absolute;z-index:17" from="490.7pt,37.1pt" to="490.7pt,195.5pt" o:allowincell="f"/>
        </w:pict>
      </w:r>
      <w:r>
        <w:pict>
          <v:line id="_x0000_s1042" style="position:absolute;z-index:16" from="231.5pt,137.9pt" to="231.5pt,159.5pt" o:allowincell="f">
            <v:stroke endarrow="block"/>
          </v:line>
        </w:pict>
      </w:r>
      <w:r>
        <w:pict>
          <v:line id="_x0000_s1041" style="position:absolute;z-index:15" from="80.3pt,137.9pt" to="80.3pt,159.5pt" o:allowincell="f">
            <v:stroke endarrow="block"/>
          </v:line>
        </w:pict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  <w:r>
        <w:pict>
          <v:rect id="_x0000_s1083" style="position:absolute;margin-left:-455.15pt;margin-top:32.65pt;width:756.6pt;height:22.2pt;z-index:57">
            <v:textbox style="mso-next-textbox:#_x0000_s1083">
              <w:txbxContent>
                <w:p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Epreuve intégrée de la section « Bachelier en droit »         160/20</w:t>
                  </w:r>
                </w:p>
              </w:txbxContent>
            </v:textbox>
          </v:rect>
        </w:pict>
      </w:r>
    </w:p>
    <w:p>
      <w:pPr>
        <w:rPr>
          <w:b/>
          <w:sz w:val="22"/>
          <w:szCs w:val="22"/>
        </w:rPr>
        <w:sectPr>
          <w:pgSz w:w="16837" w:h="11905" w:orient="landscape"/>
          <w:pgMar w:top="1729" w:right="1729" w:bottom="1729" w:left="1469" w:header="720" w:footer="1582" w:gutter="0"/>
          <w:cols w:space="720"/>
          <w:titlePg/>
          <w:docGrid w:linePitch="360"/>
        </w:sectPr>
      </w:pPr>
    </w:p>
    <w:p>
      <w:pPr>
        <w:pStyle w:val="Chapitre"/>
        <w:numPr>
          <w:ilvl w:val="0"/>
          <w:numId w:val="0"/>
        </w:numPr>
      </w:pPr>
    </w:p>
    <w:p>
      <w:pPr>
        <w:pStyle w:val="Chapitre"/>
        <w:numPr>
          <w:ilvl w:val="0"/>
          <w:numId w:val="0"/>
        </w:numPr>
      </w:pPr>
      <w:r>
        <w:t xml:space="preserve">4. TITRE DELIVRE A L’ISSUE DE </w:t>
      </w:r>
      <w:smartTag w:uri="urn:schemas-microsoft-com:office:smarttags" w:element="PersonName">
        <w:smartTagPr>
          <w:attr w:name="ProductID" w:val="LA SECTION"/>
        </w:smartTagPr>
        <w:r>
          <w:t>LA SECTION</w:t>
        </w:r>
      </w:smartTag>
    </w:p>
    <w:p>
      <w:pPr>
        <w:ind w:left="709" w:hanging="709"/>
        <w:rPr>
          <w:sz w:val="22"/>
        </w:rPr>
      </w:pPr>
    </w:p>
    <w:p>
      <w:pPr>
        <w:pStyle w:val="Corpsdetexte3"/>
      </w:pPr>
      <w:r>
        <w:t>Diplôme de « Bachelier en droit ».</w:t>
      </w:r>
    </w:p>
    <w:p/>
    <w:p/>
    <w:p/>
    <w:p/>
    <w:sectPr>
      <w:pgSz w:w="11905" w:h="16837"/>
      <w:pgMar w:top="1469" w:right="1729" w:bottom="1729" w:left="1729" w:header="720" w:footer="158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</w:pPr>
    <w:r>
      <w:t>Bac Droit : Dossier de section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Notedebasdepage"/>
      </w:pPr>
      <w:r>
        <w:rPr>
          <w:rStyle w:val="Caractredenotedebasdepage"/>
          <w:rFonts w:ascii="Times New Roman" w:hAnsi="Times New Roman"/>
        </w:rPr>
        <w:footnoteRef/>
      </w:r>
      <w:r>
        <w:tab/>
        <w:t xml:space="preserve"> Dans les dossiers, le masculin est utilisé à titre épicène.</w:t>
      </w:r>
    </w:p>
  </w:footnote>
  <w:footnote w:id="2">
    <w:p>
      <w:pPr>
        <w:pStyle w:val="Notedebasdepage"/>
      </w:pPr>
      <w:r>
        <w:rPr>
          <w:rStyle w:val="Caractredenotedebasdepage"/>
          <w:rFonts w:ascii="Times New Roman" w:hAnsi="Times New Roman"/>
        </w:rPr>
        <w:footnoteRef/>
      </w:r>
      <w:r>
        <w:tab/>
        <w:t xml:space="preserve"> Idem.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2"/>
    <w:lvl w:ilvl="0">
      <w:start w:val="1"/>
      <w:numFmt w:val="bullet"/>
      <w:lvlText w:val=""/>
      <w:lvlJc w:val="left"/>
      <w:pPr>
        <w:tabs>
          <w:tab w:val="num" w:pos="785"/>
        </w:tabs>
      </w:pPr>
      <w:rPr>
        <w:rFonts w:ascii="Symbol" w:hAnsi="Symbol"/>
        <w:sz w:val="22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"/>
      <w:lvlJc w:val="left"/>
      <w:pPr>
        <w:tabs>
          <w:tab w:val="num" w:pos="1134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StyleNum"/>
    <w:lvl w:ilvl="0">
      <w:start w:val="3"/>
      <w:numFmt w:val="decimal"/>
      <w:pStyle w:val="Chapitre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92"/>
    <o:shapelayout v:ext="edit">
      <o:idmap v:ext="edit" data="1"/>
    </o:shapelayout>
  </w:shapeDefaults>
  <w:decimalSymbol w:val=","/>
  <w:listSeparator w:val=";"/>
  <w15:docId w15:val="{DFDEC751-8A4E-469D-BDCC-5BCC274B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4"/>
      </w:numPr>
      <w:spacing w:before="240" w:after="60"/>
      <w:ind w:left="708"/>
      <w:outlineLvl w:val="0"/>
    </w:pPr>
    <w:rPr>
      <w:rFonts w:ascii="Arial" w:hAnsi="Arial"/>
      <w:b/>
      <w:kern w:val="1"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ind w:left="1416" w:hanging="708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ind w:left="2124" w:hanging="708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ind w:left="2832" w:hanging="708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numPr>
        <w:ilvl w:val="4"/>
        <w:numId w:val="4"/>
      </w:numPr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4"/>
      </w:numPr>
      <w:spacing w:before="240" w:after="60"/>
      <w:ind w:left="4248" w:hanging="708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4"/>
      </w:numPr>
      <w:spacing w:before="240" w:after="60"/>
      <w:ind w:left="4956" w:hanging="708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4"/>
      </w:numPr>
      <w:spacing w:before="240" w:after="60"/>
      <w:ind w:left="5664" w:hanging="708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4"/>
      </w:numPr>
      <w:spacing w:before="240" w:after="60"/>
      <w:ind w:left="6372" w:hanging="708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  <w:sz w:val="16"/>
    </w:rPr>
  </w:style>
  <w:style w:type="character" w:customStyle="1" w:styleId="WW8Num12z0">
    <w:name w:val="WW8Num12z0"/>
    <w:rPr>
      <w:rFonts w:ascii="Symbol" w:hAnsi="Symbol"/>
      <w:sz w:val="22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4"/>
    </w:rPr>
  </w:style>
  <w:style w:type="character" w:customStyle="1" w:styleId="WW8Num14z0">
    <w:name w:val="WW8Num14z0"/>
    <w:rPr>
      <w:rFonts w:ascii="Symbol" w:hAnsi="Symbol"/>
      <w:sz w:val="24"/>
    </w:rPr>
  </w:style>
  <w:style w:type="character" w:customStyle="1" w:styleId="WW8Num16z0">
    <w:name w:val="WW8Num16z0"/>
    <w:rPr>
      <w:rFonts w:ascii="Symbol" w:hAnsi="Symbol"/>
      <w:b/>
      <w:i w:val="0"/>
      <w:color w:val="auto"/>
      <w:sz w:val="22"/>
    </w:rPr>
  </w:style>
  <w:style w:type="character" w:customStyle="1" w:styleId="WW8Num20z0">
    <w:name w:val="WW8Num20z0"/>
    <w:rPr>
      <w:rFonts w:ascii="Symbol" w:hAnsi="Symbol"/>
      <w:color w:val="auto"/>
      <w:sz w:val="16"/>
    </w:rPr>
  </w:style>
  <w:style w:type="character" w:customStyle="1" w:styleId="WW8Num21z0">
    <w:name w:val="WW8Num21z0"/>
    <w:rPr>
      <w:rFonts w:ascii="Symbol" w:hAnsi="Symbol"/>
      <w:sz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  <w:sz w:val="18"/>
    </w:rPr>
  </w:style>
  <w:style w:type="character" w:customStyle="1" w:styleId="WW8NumSt10z0">
    <w:name w:val="WW8NumSt10z0"/>
    <w:rPr>
      <w:rFonts w:ascii="Symbol" w:hAnsi="Symbol"/>
    </w:rPr>
  </w:style>
  <w:style w:type="character" w:customStyle="1" w:styleId="WW8NumSt11z0">
    <w:name w:val="WW8NumSt11z0"/>
    <w:rPr>
      <w:rFonts w:ascii="Symbol" w:hAnsi="Symbol"/>
    </w:rPr>
  </w:style>
  <w:style w:type="character" w:customStyle="1" w:styleId="WW8NumSt12z0">
    <w:name w:val="WW8NumSt12z0"/>
    <w:rPr>
      <w:rFonts w:ascii="Symbol" w:hAnsi="Symbol"/>
    </w:rPr>
  </w:style>
  <w:style w:type="character" w:styleId="Numrodepage">
    <w:name w:val="page number"/>
    <w:basedOn w:val="Policepardfaut"/>
  </w:style>
  <w:style w:type="character" w:customStyle="1" w:styleId="Caractredenotedebasdepage">
    <w:name w:val="Caractère de note de bas de page"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character" w:styleId="Appelnotedebasdep">
    <w:name w:val="footnote reference"/>
    <w:semiHidden/>
    <w:rPr>
      <w:vertAlign w:val="superscript"/>
    </w:rPr>
  </w:style>
  <w:style w:type="character" w:styleId="Appeldenotedefin">
    <w:name w:val="endnote reference"/>
    <w:semiHidden/>
    <w:rPr>
      <w:vertAlign w:val="superscript"/>
    </w:rPr>
  </w:style>
  <w:style w:type="character" w:customStyle="1" w:styleId="Caractredenotedefin">
    <w:name w:val="Caractère de note de fin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widowControl/>
      <w:jc w:val="center"/>
    </w:pPr>
    <w:rPr>
      <w:b/>
      <w:sz w:val="16"/>
      <w:u w:val="single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exte">
    <w:name w:val="Texte"/>
    <w:basedOn w:val="Normal"/>
    <w:rPr>
      <w:rFonts w:ascii="MS Serif" w:hAnsi="MS Serif"/>
      <w:lang w:val="fr-B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hapitre">
    <w:name w:val="Chapitre"/>
    <w:basedOn w:val="Normal"/>
    <w:pPr>
      <w:numPr>
        <w:numId w:val="3"/>
      </w:numPr>
    </w:pPr>
    <w:rPr>
      <w:b/>
      <w:sz w:val="22"/>
    </w:rPr>
  </w:style>
  <w:style w:type="paragraph" w:styleId="Notedebasdepage">
    <w:name w:val="footnote text"/>
    <w:basedOn w:val="Normal"/>
    <w:semiHidden/>
    <w:rPr>
      <w:rFonts w:ascii="Courier PS" w:hAnsi="Courier PS"/>
      <w:lang w:val="fr-BE"/>
    </w:rPr>
  </w:style>
  <w:style w:type="paragraph" w:customStyle="1" w:styleId="Corpsdetexte21">
    <w:name w:val="Corps de texte 21"/>
    <w:basedOn w:val="Normal"/>
    <w:pPr>
      <w:ind w:left="426"/>
    </w:pPr>
    <w:rPr>
      <w:i/>
      <w:sz w:val="22"/>
    </w:rPr>
  </w:style>
  <w:style w:type="paragraph" w:styleId="Corpsdetexte2">
    <w:name w:val="Body Text 2"/>
    <w:basedOn w:val="Normal"/>
    <w:pPr>
      <w:widowControl/>
      <w:jc w:val="center"/>
    </w:pPr>
  </w:style>
  <w:style w:type="paragraph" w:styleId="Retraitcorpsdetexte">
    <w:name w:val="Body Text Indent"/>
    <w:basedOn w:val="Normal"/>
    <w:pPr>
      <w:ind w:left="850"/>
    </w:pPr>
    <w:rPr>
      <w:sz w:val="22"/>
    </w:rPr>
  </w:style>
  <w:style w:type="paragraph" w:styleId="Commentaire">
    <w:name w:val="annotation text"/>
    <w:basedOn w:val="Normal"/>
    <w:semiHidden/>
  </w:style>
  <w:style w:type="paragraph" w:styleId="Retraitcorpsdetexte2">
    <w:name w:val="Body Text Indent 2"/>
    <w:basedOn w:val="Normal"/>
    <w:pPr>
      <w:ind w:left="850"/>
    </w:pPr>
    <w:rPr>
      <w:i/>
      <w:iCs/>
      <w:sz w:val="22"/>
    </w:rPr>
  </w:style>
  <w:style w:type="paragraph" w:styleId="Corpsdetexte3">
    <w:name w:val="Body Text 3"/>
    <w:basedOn w:val="Normal"/>
    <w:pPr>
      <w:jc w:val="both"/>
    </w:pPr>
    <w:rPr>
      <w:sz w:val="22"/>
    </w:rPr>
  </w:style>
  <w:style w:type="paragraph" w:customStyle="1" w:styleId="Contenudetableau">
    <w:name w:val="Contenu de tableau"/>
    <w:basedOn w:val="Normal"/>
    <w:pPr>
      <w:suppressLineNumbers/>
    </w:pPr>
    <w:rPr>
      <w:rFonts w:eastAsia="Lucida Sans Unicode"/>
      <w:sz w:val="24"/>
      <w:szCs w:val="24"/>
      <w:lang w:val="fr-BE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customStyle="1" w:styleId="PieddepageCar">
    <w:name w:val="Pied de page Car"/>
    <w:link w:val="Pieddepage"/>
    <w:uiPriority w:val="99"/>
    <w:rPr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C55A5-ED58-45D4-BD09-D7FF66438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moi</dc:creator>
  <cp:lastModifiedBy>goulet02</cp:lastModifiedBy>
  <cp:revision>15</cp:revision>
  <cp:lastPrinted>2018-11-06T13:36:00Z</cp:lastPrinted>
  <dcterms:created xsi:type="dcterms:W3CDTF">2017-06-09T11:42:00Z</dcterms:created>
  <dcterms:modified xsi:type="dcterms:W3CDTF">2018-11-20T13:53:00Z</dcterms:modified>
</cp:coreProperties>
</file>