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14" w:rsidRDefault="00497683">
      <w:pPr>
        <w:spacing w:after="0"/>
        <w:ind w:left="2026" w:hanging="10"/>
      </w:pPr>
      <w:r>
        <w:rPr>
          <w:rFonts w:ascii="Times New Roman" w:eastAsia="Times New Roman" w:hAnsi="Times New Roman" w:cs="Times New Roman"/>
          <w:b/>
        </w:rPr>
        <w:t xml:space="preserve">MINISTERE DE LA COMMUNAUTE FRANCAISE </w:t>
      </w:r>
    </w:p>
    <w:p w:rsidR="00072914" w:rsidRDefault="00497683">
      <w:pPr>
        <w:spacing w:after="0"/>
        <w:ind w:right="11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72914" w:rsidRDefault="00497683">
      <w:pPr>
        <w:spacing w:after="0"/>
        <w:ind w:left="2083"/>
      </w:pPr>
      <w:r>
        <w:rPr>
          <w:rFonts w:ascii="Times New Roman" w:eastAsia="Times New Roman" w:hAnsi="Times New Roman" w:cs="Times New Roman"/>
          <w:b/>
          <w:sz w:val="20"/>
        </w:rPr>
        <w:t xml:space="preserve">ADMINISTRATION GENERALE DE L’ENSEIGNEMENT </w:t>
      </w:r>
    </w:p>
    <w:p w:rsidR="00072914" w:rsidRDefault="00497683">
      <w:pPr>
        <w:spacing w:after="0"/>
        <w:ind w:right="11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72914" w:rsidRDefault="00497683">
      <w:pPr>
        <w:spacing w:after="0"/>
        <w:ind w:left="2220" w:hanging="10"/>
      </w:pPr>
      <w:r>
        <w:rPr>
          <w:rFonts w:ascii="Times New Roman" w:eastAsia="Times New Roman" w:hAnsi="Times New Roman" w:cs="Times New Roman"/>
          <w:b/>
        </w:rPr>
        <w:t xml:space="preserve">ENSEIGNEMENT DE PROMOTION SOCIALE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57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  <w:ind w:right="4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72914" w:rsidRDefault="00497683">
      <w:pPr>
        <w:pStyle w:val="Titre1"/>
      </w:pPr>
      <w:r>
        <w:t xml:space="preserve">DOSSIER PEDAGOGIQUE </w:t>
      </w:r>
    </w:p>
    <w:p w:rsidR="00072914" w:rsidRDefault="00497683">
      <w:pPr>
        <w:spacing w:after="0"/>
        <w:ind w:right="43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72914" w:rsidRDefault="00497683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46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  <w:ind w:right="169"/>
        <w:jc w:val="center"/>
      </w:pPr>
      <w:r>
        <w:rPr>
          <w:rFonts w:ascii="Times New Roman" w:eastAsia="Times New Roman" w:hAnsi="Times New Roman" w:cs="Times New Roman"/>
          <w:b/>
        </w:rPr>
        <w:t xml:space="preserve">UNITE D’ENSEIGNEMENT </w:t>
      </w:r>
    </w:p>
    <w:p w:rsidR="00072914" w:rsidRDefault="00497683">
      <w:pPr>
        <w:spacing w:after="0"/>
        <w:ind w:right="11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/>
        <w:ind w:right="11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93"/>
        <w:ind w:right="11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072914" w:rsidRDefault="00497683">
      <w:pPr>
        <w:spacing w:after="0" w:line="240" w:lineRule="auto"/>
        <w:ind w:left="14" w:right="10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ELECTROTECHNIQUE ET ELECTRONIQUE DE PUISSANCE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96"/>
        <w:ind w:left="2064" w:hanging="10"/>
      </w:pPr>
      <w:r>
        <w:rPr>
          <w:rFonts w:ascii="Times New Roman" w:eastAsia="Times New Roman" w:hAnsi="Times New Roman" w:cs="Times New Roman"/>
          <w:b/>
        </w:rPr>
        <w:t xml:space="preserve">ENSEIGNEMENT SUPERIEUR DE TYPE COURT </w:t>
      </w:r>
    </w:p>
    <w:p w:rsidR="00072914" w:rsidRDefault="00497683">
      <w:pPr>
        <w:spacing w:after="135"/>
        <w:ind w:right="11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  <w:bookmarkStart w:id="0" w:name="_GoBack"/>
      <w:bookmarkEnd w:id="0"/>
    </w:p>
    <w:p w:rsidR="00072914" w:rsidRDefault="00497683">
      <w:pPr>
        <w:pStyle w:val="Titre2"/>
        <w:ind w:left="1373"/>
      </w:pPr>
      <w:r>
        <w:t>DOMAINE : SCIENCES DE L’INGENIEUR ET TECHNOLOGIE</w:t>
      </w:r>
      <w:r>
        <w:rPr>
          <w:b w:val="0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072914" w:rsidP="00497683">
      <w:pPr>
        <w:spacing w:after="12"/>
        <w:ind w:right="119"/>
        <w:jc w:val="center"/>
      </w:pPr>
    </w:p>
    <w:p w:rsidR="00072914" w:rsidRDefault="00497683" w:rsidP="0049768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48" w:right="9"/>
        <w:jc w:val="center"/>
      </w:pPr>
      <w:r>
        <w:rPr>
          <w:rFonts w:ascii="Times New Roman" w:eastAsia="Times New Roman" w:hAnsi="Times New Roman" w:cs="Times New Roman"/>
          <w:b/>
        </w:rPr>
        <w:t>CODE : 21 70 04 U31 D3</w:t>
      </w:r>
    </w:p>
    <w:p w:rsidR="00072914" w:rsidRDefault="00497683" w:rsidP="0049768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58" w:right="9" w:hanging="10"/>
        <w:jc w:val="center"/>
      </w:pPr>
      <w:r>
        <w:rPr>
          <w:rFonts w:ascii="Times New Roman" w:eastAsia="Times New Roman" w:hAnsi="Times New Roman" w:cs="Times New Roman"/>
          <w:b/>
        </w:rPr>
        <w:t>CODE DU DOMAINE DE FORMATION : 206</w:t>
      </w:r>
    </w:p>
    <w:p w:rsidR="00072914" w:rsidRDefault="00497683" w:rsidP="0049768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58" w:right="9" w:hanging="10"/>
        <w:jc w:val="center"/>
      </w:pPr>
      <w:r>
        <w:rPr>
          <w:rFonts w:ascii="Times New Roman" w:eastAsia="Times New Roman" w:hAnsi="Times New Roman" w:cs="Times New Roman"/>
          <w:b/>
        </w:rPr>
        <w:t>DOCUMENT DE REFERENCE INTER-RESEAUX</w:t>
      </w:r>
    </w:p>
    <w:p w:rsidR="00072914" w:rsidRDefault="0049768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48" w:right="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 w:line="240" w:lineRule="auto"/>
        <w:ind w:left="1016" w:right="113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Approbation du Gouvernement de la Communauté française du 12 juillet 2023, sur avis conforme du Conseil général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72914" w:rsidRDefault="00497683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92"/>
        <w:ind w:left="17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72914" w:rsidRDefault="00497683">
      <w:pPr>
        <w:pStyle w:val="Titre1"/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ind w:left="179" w:right="0"/>
        <w:jc w:val="left"/>
      </w:pPr>
      <w:r>
        <w:rPr>
          <w:sz w:val="32"/>
        </w:rPr>
        <w:t xml:space="preserve">ELECTROTECHNIQUE ET ELECTRONIQUE DE PUISSANCE </w:t>
      </w:r>
    </w:p>
    <w:p w:rsidR="00072914" w:rsidRDefault="00497683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0"/>
        <w:ind w:left="17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72914" w:rsidRDefault="00497683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0"/>
        <w:ind w:left="17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ENSEIGNEMENT SUPERIEUR DE TYPE COURT </w:t>
      </w:r>
    </w:p>
    <w:p w:rsidR="00072914" w:rsidRDefault="00497683">
      <w:pPr>
        <w:pBdr>
          <w:top w:val="single" w:sz="6" w:space="0" w:color="000000"/>
          <w:left w:val="single" w:sz="6" w:space="0" w:color="000000"/>
          <w:bottom w:val="single" w:sz="36" w:space="0" w:color="000000"/>
          <w:right w:val="single" w:sz="36" w:space="0" w:color="000000"/>
        </w:pBdr>
        <w:spacing w:after="92"/>
        <w:ind w:left="17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72914" w:rsidRDefault="00497683">
      <w:pPr>
        <w:spacing w:after="142"/>
        <w:ind w:left="70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72914" w:rsidRDefault="00497683">
      <w:pPr>
        <w:pStyle w:val="Titre2"/>
        <w:ind w:left="-5"/>
      </w:pPr>
      <w:r>
        <w:t xml:space="preserve">1. FINALITES DE L'UNITE D’ENSEIGNEMENT </w:t>
      </w:r>
    </w:p>
    <w:p w:rsidR="00072914" w:rsidRDefault="00497683">
      <w:pPr>
        <w:pStyle w:val="Titre3"/>
        <w:ind w:left="281"/>
      </w:pPr>
      <w:r>
        <w:t xml:space="preserve">1.1. Finalités générales </w:t>
      </w:r>
    </w:p>
    <w:p w:rsidR="00072914" w:rsidRDefault="00497683">
      <w:pPr>
        <w:spacing w:after="128" w:line="249" w:lineRule="auto"/>
        <w:ind w:left="715" w:right="158" w:hanging="10"/>
        <w:jc w:val="both"/>
      </w:pPr>
      <w:r>
        <w:rPr>
          <w:rFonts w:ascii="Times New Roman" w:eastAsia="Times New Roman" w:hAnsi="Times New Roman" w:cs="Times New Roman"/>
        </w:rPr>
        <w:t xml:space="preserve">Dans le respect de l'article 7 du décret de la Communauté française du 16 avril 1991 organisant l'enseignement de promotion sociale, cette unité d’enseignement doit : </w:t>
      </w:r>
    </w:p>
    <w:p w:rsidR="00072914" w:rsidRDefault="00497683">
      <w:pPr>
        <w:numPr>
          <w:ilvl w:val="0"/>
          <w:numId w:val="1"/>
        </w:numPr>
        <w:spacing w:after="128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concourir</w:t>
      </w:r>
      <w:proofErr w:type="gramEnd"/>
      <w:r>
        <w:rPr>
          <w:rFonts w:ascii="Times New Roman" w:eastAsia="Times New Roman" w:hAnsi="Times New Roman" w:cs="Times New Roman"/>
        </w:rPr>
        <w:t xml:space="preserve"> à l'épanouissement individuel en promouvant une meilleure insertion professionnelle, sociale, scolaire et culturelle ; </w:t>
      </w:r>
    </w:p>
    <w:p w:rsidR="00072914" w:rsidRDefault="00497683">
      <w:pPr>
        <w:numPr>
          <w:ilvl w:val="0"/>
          <w:numId w:val="1"/>
        </w:numPr>
        <w:spacing w:after="128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répondre</w:t>
      </w:r>
      <w:proofErr w:type="gramEnd"/>
      <w:r>
        <w:rPr>
          <w:rFonts w:ascii="Times New Roman" w:eastAsia="Times New Roman" w:hAnsi="Times New Roman" w:cs="Times New Roman"/>
        </w:rPr>
        <w:t xml:space="preserve"> aux besoins et demandes en formation émanant des entreprises, des administrations, de l'enseignement et d'une manière</w:t>
      </w:r>
      <w:r>
        <w:rPr>
          <w:rFonts w:ascii="Times New Roman" w:eastAsia="Times New Roman" w:hAnsi="Times New Roman" w:cs="Times New Roman"/>
        </w:rPr>
        <w:t xml:space="preserve"> générale des milieux socioéconomiques et culturels. </w:t>
      </w:r>
    </w:p>
    <w:p w:rsidR="00072914" w:rsidRDefault="00497683">
      <w:pPr>
        <w:pStyle w:val="Titre3"/>
        <w:spacing w:after="140"/>
        <w:ind w:left="281"/>
      </w:pPr>
      <w:r>
        <w:t xml:space="preserve">1.2. Finalités particulières </w:t>
      </w:r>
    </w:p>
    <w:p w:rsidR="00072914" w:rsidRDefault="00497683">
      <w:pPr>
        <w:spacing w:after="166" w:line="249" w:lineRule="auto"/>
        <w:ind w:left="715" w:right="158" w:hanging="10"/>
        <w:jc w:val="both"/>
      </w:pPr>
      <w:r>
        <w:rPr>
          <w:rFonts w:ascii="Times New Roman" w:eastAsia="Times New Roman" w:hAnsi="Times New Roman" w:cs="Times New Roman"/>
        </w:rPr>
        <w:t xml:space="preserve">Cette unité d’enseignement vise à permettre à l’étudiant : </w:t>
      </w:r>
    </w:p>
    <w:p w:rsidR="00072914" w:rsidRDefault="00497683">
      <w:pPr>
        <w:numPr>
          <w:ilvl w:val="0"/>
          <w:numId w:val="2"/>
        </w:numPr>
        <w:spacing w:after="168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d’expliquer</w:t>
      </w:r>
      <w:proofErr w:type="gramEnd"/>
      <w:r>
        <w:rPr>
          <w:rFonts w:ascii="Times New Roman" w:eastAsia="Times New Roman" w:hAnsi="Times New Roman" w:cs="Times New Roman"/>
        </w:rPr>
        <w:t xml:space="preserve"> le fonctionnement des principales machines électriques et des principaux composants électroniques ai</w:t>
      </w:r>
      <w:r>
        <w:rPr>
          <w:rFonts w:ascii="Times New Roman" w:eastAsia="Times New Roman" w:hAnsi="Times New Roman" w:cs="Times New Roman"/>
        </w:rPr>
        <w:t xml:space="preserve">nsi que leur circuit de puissance et de commande ; </w:t>
      </w:r>
    </w:p>
    <w:p w:rsidR="00072914" w:rsidRDefault="00497683">
      <w:pPr>
        <w:numPr>
          <w:ilvl w:val="0"/>
          <w:numId w:val="2"/>
        </w:numPr>
        <w:spacing w:after="68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</w:rPr>
        <w:t xml:space="preserve"> s’adapter aux évolutions technologiques du domaine. </w:t>
      </w:r>
    </w:p>
    <w:p w:rsidR="00072914" w:rsidRDefault="00497683">
      <w:pPr>
        <w:spacing w:after="98"/>
        <w:ind w:left="1080"/>
      </w:pPr>
      <w:r>
        <w:rPr>
          <w:rFonts w:ascii="Times New Roman" w:eastAsia="Times New Roman" w:hAnsi="Times New Roman" w:cs="Times New Roman"/>
        </w:rPr>
        <w:t xml:space="preserve"> </w:t>
      </w:r>
    </w:p>
    <w:p w:rsidR="00072914" w:rsidRDefault="00497683">
      <w:pPr>
        <w:pStyle w:val="Titre2"/>
        <w:ind w:left="-5"/>
      </w:pPr>
      <w:r>
        <w:t xml:space="preserve">2. CAPACITES PREALABLES REQUISES </w:t>
      </w:r>
    </w:p>
    <w:p w:rsidR="00072914" w:rsidRDefault="00497683">
      <w:pPr>
        <w:pStyle w:val="Titre3"/>
        <w:ind w:left="281"/>
      </w:pPr>
      <w:r>
        <w:t xml:space="preserve">2.1. Capacités  </w:t>
      </w:r>
    </w:p>
    <w:p w:rsidR="00072914" w:rsidRDefault="00497683">
      <w:pPr>
        <w:spacing w:after="128" w:line="286" w:lineRule="auto"/>
        <w:ind w:left="708" w:right="158" w:firstLine="2"/>
        <w:jc w:val="both"/>
      </w:pPr>
      <w:r>
        <w:rPr>
          <w:rFonts w:ascii="Times New Roman" w:eastAsia="Times New Roman" w:hAnsi="Times New Roman" w:cs="Times New Roman"/>
          <w:b/>
        </w:rPr>
        <w:t xml:space="preserve">En « Mathématiques et statistique appliquées au secteur technique », </w:t>
      </w:r>
      <w:r>
        <w:rPr>
          <w:rFonts w:ascii="Times New Roman" w:eastAsia="Times New Roman" w:hAnsi="Times New Roman" w:cs="Times New Roman"/>
          <w:i/>
        </w:rPr>
        <w:t xml:space="preserve">à partir d’une application du domaine technique, en utilisant, s’il </w:t>
      </w:r>
      <w:proofErr w:type="spellStart"/>
      <w:r>
        <w:rPr>
          <w:rFonts w:ascii="Times New Roman" w:eastAsia="Times New Roman" w:hAnsi="Times New Roman" w:cs="Times New Roman"/>
          <w:i/>
        </w:rPr>
        <w:t>échet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des logiciels dédicacés mettant en évidence des concepts mathématiques, </w:t>
      </w:r>
    </w:p>
    <w:p w:rsidR="00072914" w:rsidRDefault="00497683">
      <w:pPr>
        <w:numPr>
          <w:ilvl w:val="0"/>
          <w:numId w:val="3"/>
        </w:numPr>
        <w:spacing w:after="128" w:line="249" w:lineRule="auto"/>
        <w:ind w:right="158" w:hanging="286"/>
        <w:jc w:val="both"/>
      </w:pPr>
      <w:proofErr w:type="gramStart"/>
      <w:r>
        <w:rPr>
          <w:rFonts w:ascii="Times New Roman" w:eastAsia="Times New Roman" w:hAnsi="Times New Roman" w:cs="Times New Roman"/>
        </w:rPr>
        <w:t>résoudre</w:t>
      </w:r>
      <w:proofErr w:type="gramEnd"/>
      <w:r>
        <w:rPr>
          <w:rFonts w:ascii="Times New Roman" w:eastAsia="Times New Roman" w:hAnsi="Times New Roman" w:cs="Times New Roman"/>
        </w:rPr>
        <w:t xml:space="preserve"> un système d’équations à plus de 2 inconnues ; </w:t>
      </w:r>
    </w:p>
    <w:p w:rsidR="00072914" w:rsidRDefault="00497683">
      <w:pPr>
        <w:numPr>
          <w:ilvl w:val="0"/>
          <w:numId w:val="3"/>
        </w:numPr>
        <w:spacing w:after="128" w:line="249" w:lineRule="auto"/>
        <w:ind w:right="158" w:hanging="286"/>
        <w:jc w:val="both"/>
      </w:pPr>
      <w:proofErr w:type="gramStart"/>
      <w:r>
        <w:rPr>
          <w:rFonts w:ascii="Times New Roman" w:eastAsia="Times New Roman" w:hAnsi="Times New Roman" w:cs="Times New Roman"/>
        </w:rPr>
        <w:t>calculer</w:t>
      </w:r>
      <w:proofErr w:type="gramEnd"/>
      <w:r>
        <w:rPr>
          <w:rFonts w:ascii="Times New Roman" w:eastAsia="Times New Roman" w:hAnsi="Times New Roman" w:cs="Times New Roman"/>
        </w:rPr>
        <w:t xml:space="preserve"> des dérivées de fonctions simples et d’interpréter les résultats dans des applications concrètes ;  </w:t>
      </w:r>
    </w:p>
    <w:p w:rsidR="00072914" w:rsidRDefault="00497683">
      <w:pPr>
        <w:numPr>
          <w:ilvl w:val="0"/>
          <w:numId w:val="3"/>
        </w:numPr>
        <w:spacing w:after="128" w:line="249" w:lineRule="auto"/>
        <w:ind w:right="158" w:hanging="286"/>
        <w:jc w:val="both"/>
      </w:pPr>
      <w:proofErr w:type="gramStart"/>
      <w:r>
        <w:rPr>
          <w:rFonts w:ascii="Times New Roman" w:eastAsia="Times New Roman" w:hAnsi="Times New Roman" w:cs="Times New Roman"/>
        </w:rPr>
        <w:t>calculer</w:t>
      </w:r>
      <w:proofErr w:type="gramEnd"/>
      <w:r>
        <w:rPr>
          <w:rFonts w:ascii="Times New Roman" w:eastAsia="Times New Roman" w:hAnsi="Times New Roman" w:cs="Times New Roman"/>
        </w:rPr>
        <w:t xml:space="preserve"> une intégrale simple et en interpréter le résultat (p.ex. : aire, volume, valeur moyenne, valeur efficace …) ; </w:t>
      </w:r>
    </w:p>
    <w:p w:rsidR="00072914" w:rsidRDefault="00497683">
      <w:pPr>
        <w:numPr>
          <w:ilvl w:val="0"/>
          <w:numId w:val="3"/>
        </w:numPr>
        <w:spacing w:after="128" w:line="249" w:lineRule="auto"/>
        <w:ind w:right="158" w:hanging="286"/>
        <w:jc w:val="both"/>
      </w:pPr>
      <w:proofErr w:type="gramStart"/>
      <w:r>
        <w:rPr>
          <w:rFonts w:ascii="Times New Roman" w:eastAsia="Times New Roman" w:hAnsi="Times New Roman" w:cs="Times New Roman"/>
        </w:rPr>
        <w:t>résoudre</w:t>
      </w:r>
      <w:proofErr w:type="gramEnd"/>
      <w:r>
        <w:rPr>
          <w:rFonts w:ascii="Times New Roman" w:eastAsia="Times New Roman" w:hAnsi="Times New Roman" w:cs="Times New Roman"/>
        </w:rPr>
        <w:t xml:space="preserve"> des triangles qu</w:t>
      </w:r>
      <w:r>
        <w:rPr>
          <w:rFonts w:ascii="Times New Roman" w:eastAsia="Times New Roman" w:hAnsi="Times New Roman" w:cs="Times New Roman"/>
        </w:rPr>
        <w:t xml:space="preserve">elconques par le calcul trigonométrique ; </w:t>
      </w:r>
    </w:p>
    <w:p w:rsidR="00072914" w:rsidRDefault="00497683">
      <w:pPr>
        <w:numPr>
          <w:ilvl w:val="0"/>
          <w:numId w:val="3"/>
        </w:numPr>
        <w:spacing w:after="64" w:line="329" w:lineRule="auto"/>
        <w:ind w:right="158" w:hanging="286"/>
        <w:jc w:val="both"/>
      </w:pPr>
      <w:proofErr w:type="gramStart"/>
      <w:r>
        <w:rPr>
          <w:rFonts w:ascii="Times New Roman" w:eastAsia="Times New Roman" w:hAnsi="Times New Roman" w:cs="Times New Roman"/>
        </w:rPr>
        <w:lastRenderedPageBreak/>
        <w:t>calculer</w:t>
      </w:r>
      <w:proofErr w:type="gramEnd"/>
      <w:r>
        <w:rPr>
          <w:rFonts w:ascii="Times New Roman" w:eastAsia="Times New Roman" w:hAnsi="Times New Roman" w:cs="Times New Roman"/>
        </w:rPr>
        <w:t xml:space="preserve"> les effectifs, les fréquences, les fréquences cumulées, la moyenne et l’écart-type relatifs à une distribution discontinue à une dimension. </w:t>
      </w:r>
      <w:r>
        <w:rPr>
          <w:rFonts w:ascii="Times New Roman" w:eastAsia="Times New Roman" w:hAnsi="Times New Roman" w:cs="Times New Roman"/>
          <w:b/>
        </w:rPr>
        <w:t xml:space="preserve">En « Electricité et électronique de base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»,  </w:t>
      </w:r>
      <w:r>
        <w:rPr>
          <w:rFonts w:ascii="Times New Roman" w:eastAsia="Times New Roman" w:hAnsi="Times New Roman" w:cs="Times New Roman"/>
          <w:i/>
        </w:rPr>
        <w:t>à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partir d’une appl</w:t>
      </w:r>
      <w:r>
        <w:rPr>
          <w:rFonts w:ascii="Times New Roman" w:eastAsia="Times New Roman" w:hAnsi="Times New Roman" w:cs="Times New Roman"/>
          <w:i/>
        </w:rPr>
        <w:t xml:space="preserve">ication électrique et électronique fournie par le chargé de cours, sur base de modèles mathématiques appropriés, </w:t>
      </w:r>
    </w:p>
    <w:p w:rsidR="00072914" w:rsidRDefault="00497683">
      <w:pPr>
        <w:spacing w:after="67" w:line="286" w:lineRule="auto"/>
        <w:ind w:left="70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en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disposant des équipements nécessaires et d’une structure informatique, en disposant d’autres ressources documentaires en vue de développer </w:t>
      </w:r>
      <w:r>
        <w:rPr>
          <w:rFonts w:ascii="Times New Roman" w:eastAsia="Times New Roman" w:hAnsi="Times New Roman" w:cs="Times New Roman"/>
          <w:i/>
        </w:rPr>
        <w:t xml:space="preserve">des stratégies de recherche en langue française et étrangère, </w:t>
      </w:r>
    </w:p>
    <w:p w:rsidR="00072914" w:rsidRDefault="00497683">
      <w:pPr>
        <w:spacing w:after="67" w:line="286" w:lineRule="auto"/>
        <w:ind w:left="70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dans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le respect des règles de sécurité, d’hygiène, environnementales, des processus qualité et de la législation en vigueur, </w:t>
      </w:r>
    </w:p>
    <w:p w:rsidR="00072914" w:rsidRDefault="00497683">
      <w:pPr>
        <w:spacing w:after="127" w:line="286" w:lineRule="auto"/>
        <w:ind w:left="70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en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respectant les consignes fournies par le chargé de cours, en dév</w:t>
      </w:r>
      <w:r>
        <w:rPr>
          <w:rFonts w:ascii="Times New Roman" w:eastAsia="Times New Roman" w:hAnsi="Times New Roman" w:cs="Times New Roman"/>
          <w:i/>
        </w:rPr>
        <w:t xml:space="preserve">eloppant des compétences de communication écrite et orale en langue française et/ou en langue anglaise, </w:t>
      </w:r>
    </w:p>
    <w:p w:rsidR="00072914" w:rsidRDefault="00497683">
      <w:pPr>
        <w:numPr>
          <w:ilvl w:val="0"/>
          <w:numId w:val="3"/>
        </w:numPr>
        <w:spacing w:after="128" w:line="249" w:lineRule="auto"/>
        <w:ind w:right="158" w:hanging="286"/>
        <w:jc w:val="both"/>
      </w:pPr>
      <w:proofErr w:type="gramStart"/>
      <w:r>
        <w:rPr>
          <w:rFonts w:ascii="Times New Roman" w:eastAsia="Times New Roman" w:hAnsi="Times New Roman" w:cs="Times New Roman"/>
        </w:rPr>
        <w:t>résoudre</w:t>
      </w:r>
      <w:proofErr w:type="gramEnd"/>
      <w:r>
        <w:rPr>
          <w:rFonts w:ascii="Times New Roman" w:eastAsia="Times New Roman" w:hAnsi="Times New Roman" w:cs="Times New Roman"/>
        </w:rPr>
        <w:t xml:space="preserve"> un cas pratique d’électricité et d’électronique en recourant aux concepts théoriques ; </w:t>
      </w:r>
    </w:p>
    <w:p w:rsidR="00072914" w:rsidRDefault="00497683">
      <w:pPr>
        <w:numPr>
          <w:ilvl w:val="0"/>
          <w:numId w:val="3"/>
        </w:numPr>
        <w:spacing w:after="87" w:line="249" w:lineRule="auto"/>
        <w:ind w:right="158" w:hanging="286"/>
        <w:jc w:val="both"/>
      </w:pPr>
      <w:proofErr w:type="gramStart"/>
      <w:r>
        <w:rPr>
          <w:rFonts w:ascii="Times New Roman" w:eastAsia="Times New Roman" w:hAnsi="Times New Roman" w:cs="Times New Roman"/>
        </w:rPr>
        <w:t>expliciter</w:t>
      </w:r>
      <w:proofErr w:type="gramEnd"/>
      <w:r>
        <w:rPr>
          <w:rFonts w:ascii="Times New Roman" w:eastAsia="Times New Roman" w:hAnsi="Times New Roman" w:cs="Times New Roman"/>
        </w:rPr>
        <w:t xml:space="preserve"> la méthode utilisée ; </w:t>
      </w:r>
    </w:p>
    <w:p w:rsidR="00072914" w:rsidRDefault="00497683">
      <w:pPr>
        <w:numPr>
          <w:ilvl w:val="0"/>
          <w:numId w:val="3"/>
        </w:numPr>
        <w:spacing w:after="68" w:line="249" w:lineRule="auto"/>
        <w:ind w:right="158" w:hanging="286"/>
        <w:jc w:val="both"/>
      </w:pPr>
      <w:proofErr w:type="gramStart"/>
      <w:r>
        <w:rPr>
          <w:rFonts w:ascii="Times New Roman" w:eastAsia="Times New Roman" w:hAnsi="Times New Roman" w:cs="Times New Roman"/>
        </w:rPr>
        <w:t>analyser</w:t>
      </w:r>
      <w:proofErr w:type="gramEnd"/>
      <w:r>
        <w:rPr>
          <w:rFonts w:ascii="Times New Roman" w:eastAsia="Times New Roman" w:hAnsi="Times New Roman" w:cs="Times New Roman"/>
        </w:rPr>
        <w:t xml:space="preserve"> de manière </w:t>
      </w:r>
      <w:r>
        <w:rPr>
          <w:rFonts w:ascii="Times New Roman" w:eastAsia="Times New Roman" w:hAnsi="Times New Roman" w:cs="Times New Roman"/>
        </w:rPr>
        <w:t xml:space="preserve">critique les résultats obtenus. </w:t>
      </w:r>
    </w:p>
    <w:p w:rsidR="00072914" w:rsidRDefault="00497683">
      <w:pPr>
        <w:pStyle w:val="Titre3"/>
        <w:spacing w:after="120"/>
        <w:ind w:left="281"/>
      </w:pPr>
      <w:r>
        <w:t xml:space="preserve">2.2. Titres pouvant en tenir lieu </w:t>
      </w:r>
    </w:p>
    <w:p w:rsidR="00072914" w:rsidRDefault="00497683">
      <w:pPr>
        <w:spacing w:after="128" w:line="249" w:lineRule="auto"/>
        <w:ind w:left="715" w:right="158" w:hanging="10"/>
        <w:jc w:val="both"/>
      </w:pPr>
      <w:r>
        <w:rPr>
          <w:rFonts w:ascii="Times New Roman" w:eastAsia="Times New Roman" w:hAnsi="Times New Roman" w:cs="Times New Roman"/>
        </w:rPr>
        <w:t xml:space="preserve">Attestations de réussite des unités d’enseignement </w:t>
      </w:r>
      <w:r>
        <w:rPr>
          <w:rFonts w:ascii="Times New Roman" w:eastAsia="Times New Roman" w:hAnsi="Times New Roman" w:cs="Times New Roman"/>
          <w:b/>
        </w:rPr>
        <w:t>« Mathématiques et statistique appliquées au secteur technique »</w:t>
      </w:r>
      <w:r>
        <w:rPr>
          <w:rFonts w:ascii="Times New Roman" w:eastAsia="Times New Roman" w:hAnsi="Times New Roman" w:cs="Times New Roman"/>
        </w:rPr>
        <w:t>, code N° 01 22 24 U31 D2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b/>
        </w:rPr>
        <w:t xml:space="preserve"> « Electricité et électronique de base 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code n° 21 10 02 U31 D2, classées dans de l’enseignement supérieur de type court </w:t>
      </w:r>
    </w:p>
    <w:p w:rsidR="00072914" w:rsidRDefault="00497683">
      <w:pPr>
        <w:spacing w:after="142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72914" w:rsidRDefault="00497683">
      <w:pPr>
        <w:pStyle w:val="Titre2"/>
        <w:ind w:left="-5"/>
      </w:pPr>
      <w:r>
        <w:t xml:space="preserve">3. ACQUIS D’APPRENTISSAGE </w:t>
      </w:r>
    </w:p>
    <w:p w:rsidR="00072914" w:rsidRDefault="00497683">
      <w:pPr>
        <w:spacing w:after="96"/>
        <w:ind w:left="293" w:hanging="10"/>
      </w:pPr>
      <w:r>
        <w:rPr>
          <w:rFonts w:ascii="Times New Roman" w:eastAsia="Times New Roman" w:hAnsi="Times New Roman" w:cs="Times New Roman"/>
          <w:b/>
        </w:rPr>
        <w:t xml:space="preserve">Pour atteindre le seuil de réussite, l'étudiant sera capable : </w:t>
      </w:r>
    </w:p>
    <w:p w:rsidR="00072914" w:rsidRDefault="00497683">
      <w:pPr>
        <w:spacing w:after="88" w:line="286" w:lineRule="auto"/>
        <w:ind w:left="26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au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départ d'un cahier de charges fourni par le chargé de cours définissant les co</w:t>
      </w:r>
      <w:r>
        <w:rPr>
          <w:rFonts w:ascii="Times New Roman" w:eastAsia="Times New Roman" w:hAnsi="Times New Roman" w:cs="Times New Roman"/>
          <w:i/>
        </w:rPr>
        <w:t xml:space="preserve">nditions de fonctionnement d'un ensemble simple d'utilisation d'énergie électrique tel que station de pompage, pont roulant, chaîne de transport/ de transfert, ascenseur, monte-charge …, sur base de modèles mathématiques appropriés, </w:t>
      </w:r>
    </w:p>
    <w:p w:rsidR="00072914" w:rsidRDefault="00497683">
      <w:pPr>
        <w:spacing w:after="67" w:line="286" w:lineRule="auto"/>
        <w:ind w:left="26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en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disposant des équip</w:t>
      </w:r>
      <w:r>
        <w:rPr>
          <w:rFonts w:ascii="Times New Roman" w:eastAsia="Times New Roman" w:hAnsi="Times New Roman" w:cs="Times New Roman"/>
          <w:i/>
        </w:rPr>
        <w:t>ements nécessaires et d’une structure informatique, en disposant d’autres ressources documentaires en vue de développer des stratégies de recherche en langue française et/ou en langue anglaise, dans le respect des règles de sécurité, d’hygiène, environneme</w:t>
      </w:r>
      <w:r>
        <w:rPr>
          <w:rFonts w:ascii="Times New Roman" w:eastAsia="Times New Roman" w:hAnsi="Times New Roman" w:cs="Times New Roman"/>
          <w:i/>
        </w:rPr>
        <w:t xml:space="preserve">ntales, des processus qualité, de la législation en vigueur et du RGIE actualisé, en respectant les consignes fournies par le chargé de cours, </w:t>
      </w:r>
    </w:p>
    <w:p w:rsidR="00072914" w:rsidRDefault="00497683">
      <w:pPr>
        <w:spacing w:after="137" w:line="286" w:lineRule="auto"/>
        <w:ind w:left="26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en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développant des compétences de communication écrite et orale en langue française et/ou en langue anglaise, </w:t>
      </w:r>
    </w:p>
    <w:p w:rsidR="00072914" w:rsidRDefault="00497683">
      <w:pPr>
        <w:numPr>
          <w:ilvl w:val="0"/>
          <w:numId w:val="4"/>
        </w:numPr>
        <w:spacing w:after="128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’expliquer</w:t>
      </w:r>
      <w:proofErr w:type="gramEnd"/>
      <w:r>
        <w:rPr>
          <w:rFonts w:ascii="Times New Roman" w:eastAsia="Times New Roman" w:hAnsi="Times New Roman" w:cs="Times New Roman"/>
        </w:rPr>
        <w:t xml:space="preserve"> le fonctionnement des machines électriques et leur domaine d’application ; </w:t>
      </w:r>
    </w:p>
    <w:p w:rsidR="00072914" w:rsidRDefault="00497683">
      <w:pPr>
        <w:numPr>
          <w:ilvl w:val="0"/>
          <w:numId w:val="4"/>
        </w:numPr>
        <w:spacing w:after="68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</w:rPr>
        <w:t xml:space="preserve"> décrire et d’expliquer leur circuit de puissance et de commande. </w:t>
      </w:r>
    </w:p>
    <w:p w:rsidR="00072914" w:rsidRDefault="00497683">
      <w:pPr>
        <w:spacing w:after="96"/>
        <w:ind w:left="293" w:hanging="10"/>
      </w:pPr>
      <w:r>
        <w:rPr>
          <w:rFonts w:ascii="Times New Roman" w:eastAsia="Times New Roman" w:hAnsi="Times New Roman" w:cs="Times New Roman"/>
          <w:b/>
        </w:rPr>
        <w:t xml:space="preserve">Pour la détermination du degré de maîtrise, il sera tenu compte des critères suivants : </w:t>
      </w:r>
    </w:p>
    <w:p w:rsidR="00072914" w:rsidRDefault="00497683">
      <w:pPr>
        <w:numPr>
          <w:ilvl w:val="0"/>
          <w:numId w:val="4"/>
        </w:numPr>
        <w:spacing w:after="128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le</w:t>
      </w:r>
      <w:proofErr w:type="gramEnd"/>
      <w:r>
        <w:rPr>
          <w:rFonts w:ascii="Times New Roman" w:eastAsia="Times New Roman" w:hAnsi="Times New Roman" w:cs="Times New Roman"/>
        </w:rPr>
        <w:t xml:space="preserve"> niveau d</w:t>
      </w:r>
      <w:r>
        <w:rPr>
          <w:rFonts w:ascii="Times New Roman" w:eastAsia="Times New Roman" w:hAnsi="Times New Roman" w:cs="Times New Roman"/>
        </w:rPr>
        <w:t xml:space="preserve">e cohérence : la capacité à établir une majorité de liens logiques pour former un ensemble organisé, </w:t>
      </w:r>
    </w:p>
    <w:p w:rsidR="00072914" w:rsidRDefault="00497683">
      <w:pPr>
        <w:numPr>
          <w:ilvl w:val="0"/>
          <w:numId w:val="4"/>
        </w:numPr>
        <w:spacing w:after="170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le</w:t>
      </w:r>
      <w:proofErr w:type="gramEnd"/>
      <w:r>
        <w:rPr>
          <w:rFonts w:ascii="Times New Roman" w:eastAsia="Times New Roman" w:hAnsi="Times New Roman" w:cs="Times New Roman"/>
        </w:rPr>
        <w:t xml:space="preserve"> niveau de précision : la clarté, la concision, la rigueur au niveau de la terminologie, des concepts et des techniques/principes/modèles, </w:t>
      </w:r>
    </w:p>
    <w:p w:rsidR="00072914" w:rsidRDefault="00497683">
      <w:pPr>
        <w:numPr>
          <w:ilvl w:val="0"/>
          <w:numId w:val="4"/>
        </w:numPr>
        <w:spacing w:after="172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lastRenderedPageBreak/>
        <w:t>le</w:t>
      </w:r>
      <w:proofErr w:type="gramEnd"/>
      <w:r>
        <w:rPr>
          <w:rFonts w:ascii="Times New Roman" w:eastAsia="Times New Roman" w:hAnsi="Times New Roman" w:cs="Times New Roman"/>
        </w:rPr>
        <w:t xml:space="preserve"> niveau d’intégration : la capacité à s’approprier des notions, concepts, techniques et démarches en les intégrant dans son analyse, son argumentation, sa pratique ou la recherche de solutions, </w:t>
      </w:r>
    </w:p>
    <w:p w:rsidR="00072914" w:rsidRDefault="00497683">
      <w:pPr>
        <w:numPr>
          <w:ilvl w:val="0"/>
          <w:numId w:val="4"/>
        </w:numPr>
        <w:spacing w:after="128" w:line="249" w:lineRule="auto"/>
        <w:ind w:right="158" w:hanging="360"/>
        <w:jc w:val="both"/>
      </w:pPr>
      <w:proofErr w:type="gramStart"/>
      <w:r>
        <w:rPr>
          <w:rFonts w:ascii="Times New Roman" w:eastAsia="Times New Roman" w:hAnsi="Times New Roman" w:cs="Times New Roman"/>
        </w:rPr>
        <w:t>le</w:t>
      </w:r>
      <w:proofErr w:type="gramEnd"/>
      <w:r>
        <w:rPr>
          <w:rFonts w:ascii="Times New Roman" w:eastAsia="Times New Roman" w:hAnsi="Times New Roman" w:cs="Times New Roman"/>
        </w:rPr>
        <w:t xml:space="preserve"> niveau d’autonomie : la capacité à faire preuve d’initia</w:t>
      </w:r>
      <w:r>
        <w:rPr>
          <w:rFonts w:ascii="Times New Roman" w:eastAsia="Times New Roman" w:hAnsi="Times New Roman" w:cs="Times New Roman"/>
        </w:rPr>
        <w:t xml:space="preserve">tives démontrant une réflexion personnelle basée sur une exploitation des ressources et des idées en interdépendance avec son environnement. </w:t>
      </w:r>
    </w:p>
    <w:p w:rsidR="00072914" w:rsidRDefault="00497683">
      <w:pPr>
        <w:pStyle w:val="Titre2"/>
        <w:ind w:left="-5"/>
      </w:pPr>
      <w:r>
        <w:t xml:space="preserve">4. PROGRAMME  </w:t>
      </w:r>
    </w:p>
    <w:p w:rsidR="00072914" w:rsidRDefault="00497683">
      <w:pPr>
        <w:spacing w:after="106" w:line="249" w:lineRule="auto"/>
        <w:ind w:left="293" w:right="158" w:hanging="10"/>
        <w:jc w:val="both"/>
      </w:pPr>
      <w:r>
        <w:rPr>
          <w:rFonts w:ascii="Times New Roman" w:eastAsia="Times New Roman" w:hAnsi="Times New Roman" w:cs="Times New Roman"/>
        </w:rPr>
        <w:t xml:space="preserve">L’étudiant sera capable : </w:t>
      </w:r>
    </w:p>
    <w:p w:rsidR="00072914" w:rsidRDefault="00497683">
      <w:pPr>
        <w:spacing w:after="67" w:line="286" w:lineRule="auto"/>
        <w:ind w:left="26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au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départ de cahiers de charges définissant les conditions de fonctionne</w:t>
      </w:r>
      <w:r>
        <w:rPr>
          <w:rFonts w:ascii="Times New Roman" w:eastAsia="Times New Roman" w:hAnsi="Times New Roman" w:cs="Times New Roman"/>
          <w:i/>
        </w:rPr>
        <w:t xml:space="preserve">ment d'un ensemble simple d'utilisation d'énergie électrique tel que station de pompage, pont roulant, chaîne de transport/ de transfert, ascenseur, monte-charge …, sur base de modèles mathématiques appropriés, </w:t>
      </w:r>
    </w:p>
    <w:p w:rsidR="00072914" w:rsidRDefault="00497683">
      <w:pPr>
        <w:spacing w:after="67" w:line="286" w:lineRule="auto"/>
        <w:ind w:left="26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en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disposant des équipements nécessaires et </w:t>
      </w:r>
      <w:r>
        <w:rPr>
          <w:rFonts w:ascii="Times New Roman" w:eastAsia="Times New Roman" w:hAnsi="Times New Roman" w:cs="Times New Roman"/>
          <w:i/>
        </w:rPr>
        <w:t xml:space="preserve">d’une structure informatique, en disposant d’autres ressources documentaires en vue de développer des stratégies de recherche en langue française et/ou en langue anglaise, dans le respect des règles de sécurité, d’hygiène, environnementales, des processus </w:t>
      </w:r>
      <w:r>
        <w:rPr>
          <w:rFonts w:ascii="Times New Roman" w:eastAsia="Times New Roman" w:hAnsi="Times New Roman" w:cs="Times New Roman"/>
          <w:i/>
        </w:rPr>
        <w:t xml:space="preserve">qualité, de la législation en vigueur et du RGIE actualisé, en respectant les consignes fournies par le chargé de cours, </w:t>
      </w:r>
    </w:p>
    <w:p w:rsidR="00072914" w:rsidRDefault="00497683">
      <w:pPr>
        <w:spacing w:after="67" w:line="286" w:lineRule="auto"/>
        <w:ind w:left="26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en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développant des compétences de communication écrite et orale en langue française et/ou en langue anglaise, </w:t>
      </w:r>
    </w:p>
    <w:p w:rsidR="00072914" w:rsidRDefault="00497683">
      <w:pPr>
        <w:spacing w:after="67" w:line="286" w:lineRule="auto"/>
        <w:ind w:left="268" w:right="158" w:firstLine="2"/>
        <w:jc w:val="both"/>
      </w:pPr>
      <w:proofErr w:type="gramStart"/>
      <w:r>
        <w:rPr>
          <w:rFonts w:ascii="Times New Roman" w:eastAsia="Times New Roman" w:hAnsi="Times New Roman" w:cs="Times New Roman"/>
          <w:i/>
        </w:rPr>
        <w:t>en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travaillant de maniè</w:t>
      </w:r>
      <w:r>
        <w:rPr>
          <w:rFonts w:ascii="Times New Roman" w:eastAsia="Times New Roman" w:hAnsi="Times New Roman" w:cs="Times New Roman"/>
          <w:i/>
        </w:rPr>
        <w:t xml:space="preserve">re individuelle ou en équipe, </w:t>
      </w:r>
    </w:p>
    <w:p w:rsidR="00072914" w:rsidRDefault="00497683">
      <w:pPr>
        <w:pStyle w:val="Titre3"/>
        <w:spacing w:after="156"/>
        <w:ind w:left="281"/>
      </w:pPr>
      <w:r>
        <w:t xml:space="preserve">4.1. Electrotechnique </w:t>
      </w:r>
    </w:p>
    <w:p w:rsidR="00072914" w:rsidRDefault="00497683">
      <w:pPr>
        <w:numPr>
          <w:ilvl w:val="0"/>
          <w:numId w:val="5"/>
        </w:numPr>
        <w:spacing w:after="128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d’analyser</w:t>
      </w:r>
      <w:proofErr w:type="gramEnd"/>
      <w:r>
        <w:rPr>
          <w:rFonts w:ascii="Times New Roman" w:eastAsia="Times New Roman" w:hAnsi="Times New Roman" w:cs="Times New Roman"/>
        </w:rPr>
        <w:t xml:space="preserve"> les principales machines tournantes actuelles à courant continu et à courant alternatif :  </w:t>
      </w:r>
    </w:p>
    <w:p w:rsidR="00072914" w:rsidRDefault="00497683">
      <w:pPr>
        <w:numPr>
          <w:ilvl w:val="0"/>
          <w:numId w:val="5"/>
        </w:numPr>
        <w:spacing w:after="94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</w:t>
      </w:r>
      <w:proofErr w:type="gramEnd"/>
      <w:r>
        <w:rPr>
          <w:rFonts w:ascii="Times New Roman" w:eastAsia="Times New Roman" w:hAnsi="Times New Roman" w:cs="Times New Roman"/>
        </w:rPr>
        <w:t xml:space="preserve"> principe de fonctionnement,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:rsidR="00072914" w:rsidRDefault="00497683">
      <w:pPr>
        <w:numPr>
          <w:ilvl w:val="0"/>
          <w:numId w:val="5"/>
        </w:numPr>
        <w:spacing w:after="92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les</w:t>
      </w:r>
      <w:proofErr w:type="gramEnd"/>
      <w:r>
        <w:rPr>
          <w:rFonts w:ascii="Times New Roman" w:eastAsia="Times New Roman" w:hAnsi="Times New Roman" w:cs="Times New Roman"/>
        </w:rPr>
        <w:t xml:space="preserve"> caractéristiques, </w:t>
      </w:r>
    </w:p>
    <w:p w:rsidR="00072914" w:rsidRDefault="00497683">
      <w:pPr>
        <w:numPr>
          <w:ilvl w:val="0"/>
          <w:numId w:val="5"/>
        </w:numPr>
        <w:spacing w:after="128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les</w:t>
      </w:r>
      <w:proofErr w:type="gramEnd"/>
      <w:r>
        <w:rPr>
          <w:rFonts w:ascii="Times New Roman" w:eastAsia="Times New Roman" w:hAnsi="Times New Roman" w:cs="Times New Roman"/>
        </w:rPr>
        <w:t xml:space="preserve"> méthodes de démarrage, de freinage et de variations de vitesse, </w:t>
      </w:r>
    </w:p>
    <w:p w:rsidR="00072914" w:rsidRDefault="00497683">
      <w:pPr>
        <w:numPr>
          <w:ilvl w:val="0"/>
          <w:numId w:val="5"/>
        </w:numPr>
        <w:spacing w:after="128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les</w:t>
      </w:r>
      <w:proofErr w:type="gramEnd"/>
      <w:r>
        <w:rPr>
          <w:rFonts w:ascii="Times New Roman" w:eastAsia="Times New Roman" w:hAnsi="Times New Roman" w:cs="Times New Roman"/>
        </w:rPr>
        <w:t xml:space="preserve"> domaines d’utilisation ; </w:t>
      </w:r>
    </w:p>
    <w:p w:rsidR="00072914" w:rsidRDefault="00497683">
      <w:pPr>
        <w:numPr>
          <w:ilvl w:val="0"/>
          <w:numId w:val="5"/>
        </w:numPr>
        <w:spacing w:after="93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d’analyser</w:t>
      </w:r>
      <w:proofErr w:type="gramEnd"/>
      <w:r>
        <w:rPr>
          <w:rFonts w:ascii="Times New Roman" w:eastAsia="Times New Roman" w:hAnsi="Times New Roman" w:cs="Times New Roman"/>
        </w:rPr>
        <w:t xml:space="preserve"> les principales machines statiques actuelles : </w:t>
      </w:r>
    </w:p>
    <w:p w:rsidR="00072914" w:rsidRDefault="00497683">
      <w:pPr>
        <w:numPr>
          <w:ilvl w:val="0"/>
          <w:numId w:val="5"/>
        </w:numPr>
        <w:spacing w:after="94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</w:t>
      </w:r>
      <w:proofErr w:type="gramEnd"/>
      <w:r>
        <w:rPr>
          <w:rFonts w:ascii="Times New Roman" w:eastAsia="Times New Roman" w:hAnsi="Times New Roman" w:cs="Times New Roman"/>
        </w:rPr>
        <w:t xml:space="preserve"> principe de fonctionnement, </w:t>
      </w:r>
    </w:p>
    <w:p w:rsidR="00072914" w:rsidRDefault="00497683">
      <w:pPr>
        <w:numPr>
          <w:ilvl w:val="0"/>
          <w:numId w:val="5"/>
        </w:numPr>
        <w:spacing w:after="128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les</w:t>
      </w:r>
      <w:proofErr w:type="gramEnd"/>
      <w:r>
        <w:rPr>
          <w:rFonts w:ascii="Times New Roman" w:eastAsia="Times New Roman" w:hAnsi="Times New Roman" w:cs="Times New Roman"/>
        </w:rPr>
        <w:t xml:space="preserve"> caractéristiques, </w:t>
      </w:r>
    </w:p>
    <w:p w:rsidR="00072914" w:rsidRDefault="00497683">
      <w:pPr>
        <w:numPr>
          <w:ilvl w:val="0"/>
          <w:numId w:val="5"/>
        </w:numPr>
        <w:spacing w:after="128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les</w:t>
      </w:r>
      <w:proofErr w:type="gramEnd"/>
      <w:r>
        <w:rPr>
          <w:rFonts w:ascii="Times New Roman" w:eastAsia="Times New Roman" w:hAnsi="Times New Roman" w:cs="Times New Roman"/>
        </w:rPr>
        <w:t xml:space="preserve"> domaines d’utilisation ; </w:t>
      </w:r>
    </w:p>
    <w:p w:rsidR="00072914" w:rsidRDefault="00497683">
      <w:pPr>
        <w:numPr>
          <w:ilvl w:val="0"/>
          <w:numId w:val="5"/>
        </w:numPr>
        <w:spacing w:after="93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d’analyser</w:t>
      </w:r>
      <w:proofErr w:type="gramEnd"/>
      <w:r>
        <w:rPr>
          <w:rFonts w:ascii="Times New Roman" w:eastAsia="Times New Roman" w:hAnsi="Times New Roman" w:cs="Times New Roman"/>
        </w:rPr>
        <w:t xml:space="preserve"> le</w:t>
      </w:r>
      <w:r>
        <w:rPr>
          <w:rFonts w:ascii="Times New Roman" w:eastAsia="Times New Roman" w:hAnsi="Times New Roman" w:cs="Times New Roman"/>
        </w:rPr>
        <w:t xml:space="preserve">s principaux moteurs linéaires et pas-à-pas  : </w:t>
      </w:r>
    </w:p>
    <w:p w:rsidR="00072914" w:rsidRDefault="00497683">
      <w:pPr>
        <w:numPr>
          <w:ilvl w:val="0"/>
          <w:numId w:val="5"/>
        </w:numPr>
        <w:spacing w:after="128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</w:t>
      </w:r>
      <w:proofErr w:type="gramEnd"/>
      <w:r>
        <w:rPr>
          <w:rFonts w:ascii="Times New Roman" w:eastAsia="Times New Roman" w:hAnsi="Times New Roman" w:cs="Times New Roman"/>
        </w:rPr>
        <w:t xml:space="preserve"> principe de fonctionnement, </w:t>
      </w:r>
    </w:p>
    <w:p w:rsidR="00072914" w:rsidRDefault="00497683">
      <w:pPr>
        <w:numPr>
          <w:ilvl w:val="0"/>
          <w:numId w:val="5"/>
        </w:numPr>
        <w:spacing w:after="91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les</w:t>
      </w:r>
      <w:proofErr w:type="gramEnd"/>
      <w:r>
        <w:rPr>
          <w:rFonts w:ascii="Times New Roman" w:eastAsia="Times New Roman" w:hAnsi="Times New Roman" w:cs="Times New Roman"/>
        </w:rPr>
        <w:t xml:space="preserve"> domaines d’utilisation ; </w:t>
      </w:r>
    </w:p>
    <w:p w:rsidR="00072914" w:rsidRDefault="00497683">
      <w:pPr>
        <w:numPr>
          <w:ilvl w:val="0"/>
          <w:numId w:val="5"/>
        </w:numPr>
        <w:spacing w:after="128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</w:rPr>
        <w:t xml:space="preserve"> décrire les systèmes de distribution et de transport de l'énergie électrique en basse et en haute tension. </w:t>
      </w:r>
    </w:p>
    <w:p w:rsidR="00072914" w:rsidRDefault="00497683">
      <w:pPr>
        <w:spacing w:after="119" w:line="297" w:lineRule="auto"/>
        <w:ind w:left="566" w:right="171" w:hanging="295"/>
      </w:pPr>
      <w:r>
        <w:rPr>
          <w:rFonts w:ascii="Times New Roman" w:eastAsia="Times New Roman" w:hAnsi="Times New Roman" w:cs="Times New Roman"/>
          <w:b/>
        </w:rPr>
        <w:t>4.2. Electronique et électronique d</w:t>
      </w:r>
      <w:r>
        <w:rPr>
          <w:rFonts w:ascii="Times New Roman" w:eastAsia="Times New Roman" w:hAnsi="Times New Roman" w:cs="Times New Roman"/>
          <w:b/>
        </w:rPr>
        <w:t xml:space="preserve">e puissance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d’utiliser les différentielles et les transformées de Laplace intégrant des circuits électroniques ; </w:t>
      </w:r>
    </w:p>
    <w:p w:rsidR="00072914" w:rsidRDefault="00497683">
      <w:pPr>
        <w:numPr>
          <w:ilvl w:val="0"/>
          <w:numId w:val="5"/>
        </w:numPr>
        <w:spacing w:after="170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t>de</w:t>
      </w:r>
      <w:proofErr w:type="gramEnd"/>
      <w:r>
        <w:rPr>
          <w:rFonts w:ascii="Times New Roman" w:eastAsia="Times New Roman" w:hAnsi="Times New Roman" w:cs="Times New Roman"/>
        </w:rPr>
        <w:t xml:space="preserve"> décrire et d’expliquer le principe et le comportement des montages à amplificateur opérationnel en fonctionnement linéaire et non linéaire ; </w:t>
      </w:r>
    </w:p>
    <w:p w:rsidR="00072914" w:rsidRDefault="00497683">
      <w:pPr>
        <w:numPr>
          <w:ilvl w:val="0"/>
          <w:numId w:val="5"/>
        </w:numPr>
        <w:spacing w:after="128" w:line="249" w:lineRule="auto"/>
        <w:ind w:right="158" w:hanging="427"/>
        <w:jc w:val="both"/>
      </w:pPr>
      <w:proofErr w:type="gramStart"/>
      <w:r>
        <w:rPr>
          <w:rFonts w:ascii="Times New Roman" w:eastAsia="Times New Roman" w:hAnsi="Times New Roman" w:cs="Times New Roman"/>
        </w:rPr>
        <w:lastRenderedPageBreak/>
        <w:t>de</w:t>
      </w:r>
      <w:proofErr w:type="gramEnd"/>
      <w:r>
        <w:rPr>
          <w:rFonts w:ascii="Times New Roman" w:eastAsia="Times New Roman" w:hAnsi="Times New Roman" w:cs="Times New Roman"/>
        </w:rPr>
        <w:t xml:space="preserve"> décrire les principes des circuits d’électronique de puissance et leurs commandes, d’en expliquer le fonctio</w:t>
      </w:r>
      <w:r>
        <w:rPr>
          <w:rFonts w:ascii="Times New Roman" w:eastAsia="Times New Roman" w:hAnsi="Times New Roman" w:cs="Times New Roman"/>
        </w:rPr>
        <w:t xml:space="preserve">nnement, les caractéristiques et le domaine d’utilisation. </w:t>
      </w:r>
    </w:p>
    <w:p w:rsidR="00072914" w:rsidRDefault="00497683">
      <w:pPr>
        <w:spacing w:after="96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5. CONSTITUTION DES GROUPES OU REGROUPEMENT </w:t>
      </w:r>
    </w:p>
    <w:p w:rsidR="00072914" w:rsidRDefault="00497683">
      <w:pPr>
        <w:spacing w:after="106" w:line="249" w:lineRule="auto"/>
        <w:ind w:left="281" w:right="158" w:hanging="10"/>
        <w:jc w:val="both"/>
      </w:pPr>
      <w:r>
        <w:rPr>
          <w:rFonts w:ascii="Times New Roman" w:eastAsia="Times New Roman" w:hAnsi="Times New Roman" w:cs="Times New Roman"/>
        </w:rPr>
        <w:t xml:space="preserve">Aucune recommandation particulière. </w:t>
      </w:r>
    </w:p>
    <w:p w:rsidR="00072914" w:rsidRDefault="00497683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:rsidR="00072914" w:rsidRDefault="00497683">
      <w:pPr>
        <w:pStyle w:val="Titre2"/>
        <w:ind w:left="-5"/>
      </w:pPr>
      <w:r>
        <w:t xml:space="preserve">6. CHARGE DE COURS </w:t>
      </w:r>
    </w:p>
    <w:p w:rsidR="00072914" w:rsidRDefault="00497683">
      <w:pPr>
        <w:spacing w:after="103" w:line="249" w:lineRule="auto"/>
        <w:ind w:left="281" w:right="158" w:hanging="10"/>
        <w:jc w:val="both"/>
      </w:pPr>
      <w:r>
        <w:rPr>
          <w:rFonts w:ascii="Times New Roman" w:eastAsia="Times New Roman" w:hAnsi="Times New Roman" w:cs="Times New Roman"/>
        </w:rPr>
        <w:t xml:space="preserve">Le chargé de cours sera un enseignant ou un expert. </w:t>
      </w:r>
    </w:p>
    <w:p w:rsidR="00072914" w:rsidRDefault="00497683">
      <w:pPr>
        <w:spacing w:after="128" w:line="249" w:lineRule="auto"/>
        <w:ind w:left="281" w:right="158" w:hanging="10"/>
        <w:jc w:val="both"/>
      </w:pPr>
      <w:r>
        <w:rPr>
          <w:rFonts w:ascii="Times New Roman" w:eastAsia="Times New Roman" w:hAnsi="Times New Roman" w:cs="Times New Roman"/>
        </w:rPr>
        <w:t>L’expert devra justifier de compétences</w:t>
      </w:r>
      <w:r>
        <w:rPr>
          <w:rFonts w:ascii="Times New Roman" w:eastAsia="Times New Roman" w:hAnsi="Times New Roman" w:cs="Times New Roman"/>
        </w:rPr>
        <w:t xml:space="preserve"> particulières issues d’une expérience professionnelle actualisée en relation avec le programme du présent dossier pédagogique. </w:t>
      </w:r>
    </w:p>
    <w:p w:rsidR="00072914" w:rsidRDefault="00497683">
      <w:pPr>
        <w:spacing w:after="14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72914" w:rsidRDefault="00497683">
      <w:pPr>
        <w:pStyle w:val="Titre2"/>
        <w:spacing w:after="0"/>
        <w:ind w:left="-5"/>
      </w:pPr>
      <w:r>
        <w:t xml:space="preserve">7. HORAIRE MINIMUM DE L'UNITE D’ENSEIGNEMENT </w:t>
      </w:r>
    </w:p>
    <w:tbl>
      <w:tblPr>
        <w:tblStyle w:val="TableGrid"/>
        <w:tblW w:w="8778" w:type="dxa"/>
        <w:tblInd w:w="0" w:type="dxa"/>
        <w:tblCellMar>
          <w:top w:w="12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33"/>
        <w:gridCol w:w="1448"/>
        <w:gridCol w:w="1298"/>
        <w:gridCol w:w="1899"/>
      </w:tblGrid>
      <w:tr w:rsidR="00072914">
        <w:trPr>
          <w:trHeight w:val="526"/>
        </w:trPr>
        <w:tc>
          <w:tcPr>
            <w:tcW w:w="41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14" w:rsidRDefault="00497683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b/>
              </w:rPr>
              <w:t>7.1. Dénomination des cours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14" w:rsidRDefault="00497683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b/>
              </w:rPr>
              <w:t>Classement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914" w:rsidRDefault="00497683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Code 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2914" w:rsidRDefault="00497683">
            <w:pPr>
              <w:spacing w:after="0"/>
              <w:ind w:left="621" w:hanging="266"/>
            </w:pPr>
            <w:r>
              <w:rPr>
                <w:rFonts w:ascii="Times New Roman" w:eastAsia="Times New Roman" w:hAnsi="Times New Roman" w:cs="Times New Roman"/>
                <w:b/>
              </w:rPr>
              <w:t>Nombre de périodes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72914">
        <w:trPr>
          <w:trHeight w:val="264"/>
        </w:trPr>
        <w:tc>
          <w:tcPr>
            <w:tcW w:w="4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2914" w:rsidRDefault="0049768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Electrotechnique 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14" w:rsidRDefault="00497683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CT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14" w:rsidRDefault="0049768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2914" w:rsidRDefault="0049768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60 </w:t>
            </w:r>
          </w:p>
        </w:tc>
      </w:tr>
      <w:tr w:rsidR="00072914">
        <w:trPr>
          <w:trHeight w:val="262"/>
        </w:trPr>
        <w:tc>
          <w:tcPr>
            <w:tcW w:w="41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72914" w:rsidRDefault="0049768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Electronique et électronique de puissance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14" w:rsidRDefault="00497683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CT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914" w:rsidRDefault="0049768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J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72914" w:rsidRDefault="0049768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</w:tr>
      <w:tr w:rsidR="00072914">
        <w:trPr>
          <w:trHeight w:val="274"/>
        </w:trPr>
        <w:tc>
          <w:tcPr>
            <w:tcW w:w="41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72914" w:rsidRDefault="00497683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b/>
              </w:rPr>
              <w:t>7.2. Part d'autonomie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72914" w:rsidRDefault="00072914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2914" w:rsidRDefault="00497683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2914" w:rsidRDefault="0049768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</w:tr>
      <w:tr w:rsidR="00072914">
        <w:trPr>
          <w:trHeight w:val="283"/>
        </w:trPr>
        <w:tc>
          <w:tcPr>
            <w:tcW w:w="4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72914" w:rsidRDefault="004976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 des périodes </w:t>
            </w: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72914" w:rsidRDefault="00072914"/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72914" w:rsidRDefault="00072914"/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2914" w:rsidRDefault="0049768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120 </w:t>
            </w:r>
          </w:p>
        </w:tc>
      </w:tr>
      <w:tr w:rsidR="00072914">
        <w:trPr>
          <w:trHeight w:val="281"/>
        </w:trPr>
        <w:tc>
          <w:tcPr>
            <w:tcW w:w="4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72914" w:rsidRDefault="0049768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Nombre d’ECTS </w:t>
            </w:r>
          </w:p>
        </w:tc>
        <w:tc>
          <w:tcPr>
            <w:tcW w:w="144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72914" w:rsidRDefault="00072914"/>
        </w:tc>
        <w:tc>
          <w:tcPr>
            <w:tcW w:w="1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72914" w:rsidRDefault="00072914"/>
        </w:tc>
        <w:tc>
          <w:tcPr>
            <w:tcW w:w="18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2914" w:rsidRDefault="00497683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</w:tr>
    </w:tbl>
    <w:p w:rsidR="00072914" w:rsidRDefault="004976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72914">
      <w:footerReference w:type="even" r:id="rId7"/>
      <w:footerReference w:type="default" r:id="rId8"/>
      <w:footerReference w:type="first" r:id="rId9"/>
      <w:pgSz w:w="11906" w:h="16841"/>
      <w:pgMar w:top="1419" w:right="1244" w:bottom="1404" w:left="141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7683">
      <w:pPr>
        <w:spacing w:after="0" w:line="240" w:lineRule="auto"/>
      </w:pPr>
      <w:r>
        <w:separator/>
      </w:r>
    </w:p>
  </w:endnote>
  <w:endnote w:type="continuationSeparator" w:id="0">
    <w:p w:rsidR="00000000" w:rsidRDefault="0049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14" w:rsidRDefault="00497683">
    <w:pPr>
      <w:tabs>
        <w:tab w:val="center" w:pos="4537"/>
        <w:tab w:val="right" w:pos="9251"/>
      </w:tabs>
      <w:spacing w:after="0"/>
    </w:pPr>
    <w:r>
      <w:rPr>
        <w:rFonts w:ascii="Times New Roman" w:eastAsia="Times New Roman" w:hAnsi="Times New Roman" w:cs="Times New Roman"/>
        <w:color w:val="002060"/>
        <w:sz w:val="18"/>
      </w:rPr>
      <w:t xml:space="preserve">Electrotechnique et </w:t>
    </w:r>
    <w:proofErr w:type="spellStart"/>
    <w:r>
      <w:rPr>
        <w:rFonts w:ascii="Times New Roman" w:eastAsia="Times New Roman" w:hAnsi="Times New Roman" w:cs="Times New Roman"/>
        <w:color w:val="002060"/>
        <w:sz w:val="18"/>
      </w:rPr>
      <w:t>electronique</w:t>
    </w:r>
    <w:proofErr w:type="spellEnd"/>
    <w:r>
      <w:rPr>
        <w:rFonts w:ascii="Times New Roman" w:eastAsia="Times New Roman" w:hAnsi="Times New Roman" w:cs="Times New Roman"/>
        <w:color w:val="002060"/>
        <w:sz w:val="18"/>
      </w:rPr>
      <w:t xml:space="preserve"> de puissance  </w:t>
    </w:r>
    <w:r>
      <w:rPr>
        <w:rFonts w:ascii="Times New Roman" w:eastAsia="Times New Roman" w:hAnsi="Times New Roman" w:cs="Times New Roman"/>
        <w:color w:val="002060"/>
        <w:sz w:val="18"/>
      </w:rPr>
      <w:tab/>
      <w:t xml:space="preserve"> </w:t>
    </w:r>
    <w:r>
      <w:rPr>
        <w:rFonts w:ascii="Times New Roman" w:eastAsia="Times New Roman" w:hAnsi="Times New Roman" w:cs="Times New Roman"/>
        <w:color w:val="002060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2060"/>
        <w:sz w:val="18"/>
      </w:rPr>
      <w:t>2</w:t>
    </w:r>
    <w:r>
      <w:rPr>
        <w:rFonts w:ascii="Times New Roman" w:eastAsia="Times New Roman" w:hAnsi="Times New Roman" w:cs="Times New Roman"/>
        <w:color w:val="002060"/>
        <w:sz w:val="18"/>
      </w:rPr>
      <w:fldChar w:fldCharType="end"/>
    </w:r>
    <w:r>
      <w:rPr>
        <w:rFonts w:ascii="Times New Roman" w:eastAsia="Times New Roman" w:hAnsi="Times New Roman" w:cs="Times New Roman"/>
        <w:color w:val="002060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002060"/>
        <w:sz w:val="18"/>
      </w:rPr>
      <w:t>5</w:t>
    </w:r>
    <w:r>
      <w:rPr>
        <w:rFonts w:ascii="Times New Roman" w:eastAsia="Times New Roman" w:hAnsi="Times New Roman" w:cs="Times New Roman"/>
        <w:color w:val="002060"/>
        <w:sz w:val="18"/>
      </w:rPr>
      <w:fldChar w:fldCharType="end"/>
    </w:r>
    <w:r>
      <w:rPr>
        <w:rFonts w:ascii="Times New Roman" w:eastAsia="Times New Roman" w:hAnsi="Times New Roman" w:cs="Times New Roman"/>
        <w:color w:val="002060"/>
        <w:sz w:val="18"/>
      </w:rPr>
      <w:t xml:space="preserve"> </w:t>
    </w:r>
  </w:p>
  <w:p w:rsidR="00072914" w:rsidRDefault="00497683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14" w:rsidRDefault="00497683">
    <w:pPr>
      <w:tabs>
        <w:tab w:val="center" w:pos="4537"/>
        <w:tab w:val="right" w:pos="9251"/>
      </w:tabs>
      <w:spacing w:after="0"/>
    </w:pPr>
    <w:r>
      <w:rPr>
        <w:rFonts w:ascii="Times New Roman" w:eastAsia="Times New Roman" w:hAnsi="Times New Roman" w:cs="Times New Roman"/>
        <w:color w:val="002060"/>
        <w:sz w:val="18"/>
      </w:rPr>
      <w:t xml:space="preserve">Electrotechnique et </w:t>
    </w:r>
    <w:proofErr w:type="spellStart"/>
    <w:r>
      <w:rPr>
        <w:rFonts w:ascii="Times New Roman" w:eastAsia="Times New Roman" w:hAnsi="Times New Roman" w:cs="Times New Roman"/>
        <w:color w:val="002060"/>
        <w:sz w:val="18"/>
      </w:rPr>
      <w:t>electronique</w:t>
    </w:r>
    <w:proofErr w:type="spellEnd"/>
    <w:r>
      <w:rPr>
        <w:rFonts w:ascii="Times New Roman" w:eastAsia="Times New Roman" w:hAnsi="Times New Roman" w:cs="Times New Roman"/>
        <w:color w:val="002060"/>
        <w:sz w:val="18"/>
      </w:rPr>
      <w:t xml:space="preserve"> de puissance  </w:t>
    </w:r>
    <w:r>
      <w:rPr>
        <w:rFonts w:ascii="Times New Roman" w:eastAsia="Times New Roman" w:hAnsi="Times New Roman" w:cs="Times New Roman"/>
        <w:color w:val="002060"/>
        <w:sz w:val="18"/>
      </w:rPr>
      <w:tab/>
      <w:t xml:space="preserve"> </w:t>
    </w:r>
    <w:r>
      <w:rPr>
        <w:rFonts w:ascii="Times New Roman" w:eastAsia="Times New Roman" w:hAnsi="Times New Roman" w:cs="Times New Roman"/>
        <w:color w:val="002060"/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497683">
      <w:rPr>
        <w:rFonts w:ascii="Times New Roman" w:eastAsia="Times New Roman" w:hAnsi="Times New Roman" w:cs="Times New Roman"/>
        <w:noProof/>
        <w:color w:val="002060"/>
        <w:sz w:val="18"/>
      </w:rPr>
      <w:t>4</w:t>
    </w:r>
    <w:r>
      <w:rPr>
        <w:rFonts w:ascii="Times New Roman" w:eastAsia="Times New Roman" w:hAnsi="Times New Roman" w:cs="Times New Roman"/>
        <w:color w:val="002060"/>
        <w:sz w:val="18"/>
      </w:rPr>
      <w:fldChar w:fldCharType="end"/>
    </w:r>
    <w:r>
      <w:rPr>
        <w:rFonts w:ascii="Times New Roman" w:eastAsia="Times New Roman" w:hAnsi="Times New Roman" w:cs="Times New Roman"/>
        <w:color w:val="002060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 w:rsidRPr="00497683">
      <w:rPr>
        <w:rFonts w:ascii="Times New Roman" w:eastAsia="Times New Roman" w:hAnsi="Times New Roman" w:cs="Times New Roman"/>
        <w:noProof/>
        <w:color w:val="002060"/>
        <w:sz w:val="18"/>
      </w:rPr>
      <w:t>5</w:t>
    </w:r>
    <w:r>
      <w:rPr>
        <w:rFonts w:ascii="Times New Roman" w:eastAsia="Times New Roman" w:hAnsi="Times New Roman" w:cs="Times New Roman"/>
        <w:color w:val="002060"/>
        <w:sz w:val="18"/>
      </w:rPr>
      <w:fldChar w:fldCharType="end"/>
    </w:r>
    <w:r>
      <w:rPr>
        <w:rFonts w:ascii="Times New Roman" w:eastAsia="Times New Roman" w:hAnsi="Times New Roman" w:cs="Times New Roman"/>
        <w:color w:val="002060"/>
        <w:sz w:val="18"/>
      </w:rPr>
      <w:t xml:space="preserve"> </w:t>
    </w:r>
  </w:p>
  <w:p w:rsidR="00072914" w:rsidRDefault="00497683">
    <w:pPr>
      <w:spacing w:after="0"/>
    </w:pP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914" w:rsidRDefault="000729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7683">
      <w:pPr>
        <w:spacing w:after="0" w:line="240" w:lineRule="auto"/>
      </w:pPr>
      <w:r>
        <w:separator/>
      </w:r>
    </w:p>
  </w:footnote>
  <w:footnote w:type="continuationSeparator" w:id="0">
    <w:p w:rsidR="00000000" w:rsidRDefault="00497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04C98"/>
    <w:multiLevelType w:val="hybridMultilevel"/>
    <w:tmpl w:val="73A4D4CA"/>
    <w:lvl w:ilvl="0" w:tplc="EB6C20F8">
      <w:start w:val="1"/>
      <w:numFmt w:val="bullet"/>
      <w:lvlText w:val="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F40A24">
      <w:start w:val="1"/>
      <w:numFmt w:val="bullet"/>
      <w:lvlText w:val="o"/>
      <w:lvlJc w:val="left"/>
      <w:pPr>
        <w:ind w:left="1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EF1FC">
      <w:start w:val="1"/>
      <w:numFmt w:val="bullet"/>
      <w:lvlText w:val="▪"/>
      <w:lvlJc w:val="left"/>
      <w:pPr>
        <w:ind w:left="2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C21B4">
      <w:start w:val="1"/>
      <w:numFmt w:val="bullet"/>
      <w:lvlText w:val="•"/>
      <w:lvlJc w:val="left"/>
      <w:pPr>
        <w:ind w:left="3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A5CFA">
      <w:start w:val="1"/>
      <w:numFmt w:val="bullet"/>
      <w:lvlText w:val="o"/>
      <w:lvlJc w:val="left"/>
      <w:pPr>
        <w:ind w:left="3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28536">
      <w:start w:val="1"/>
      <w:numFmt w:val="bullet"/>
      <w:lvlText w:val="▪"/>
      <w:lvlJc w:val="left"/>
      <w:pPr>
        <w:ind w:left="4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B81EAA">
      <w:start w:val="1"/>
      <w:numFmt w:val="bullet"/>
      <w:lvlText w:val="•"/>
      <w:lvlJc w:val="left"/>
      <w:pPr>
        <w:ind w:left="5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82400">
      <w:start w:val="1"/>
      <w:numFmt w:val="bullet"/>
      <w:lvlText w:val="o"/>
      <w:lvlJc w:val="left"/>
      <w:pPr>
        <w:ind w:left="6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C9990">
      <w:start w:val="1"/>
      <w:numFmt w:val="bullet"/>
      <w:lvlText w:val="▪"/>
      <w:lvlJc w:val="left"/>
      <w:pPr>
        <w:ind w:left="6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41568"/>
    <w:multiLevelType w:val="hybridMultilevel"/>
    <w:tmpl w:val="DCA6818C"/>
    <w:lvl w:ilvl="0" w:tplc="3B72E9D4">
      <w:start w:val="1"/>
      <w:numFmt w:val="bullet"/>
      <w:lvlText w:val="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7E800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8085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C6E3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8A47F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4B20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4C69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8EBE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6C45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AD2CC7"/>
    <w:multiLevelType w:val="hybridMultilevel"/>
    <w:tmpl w:val="2DA0AFBE"/>
    <w:lvl w:ilvl="0" w:tplc="B7F2592A">
      <w:start w:val="1"/>
      <w:numFmt w:val="bullet"/>
      <w:lvlText w:val="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DCF07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0A6E9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26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88B09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2A0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46F9B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AFC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9A1F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F76EF3"/>
    <w:multiLevelType w:val="hybridMultilevel"/>
    <w:tmpl w:val="80245582"/>
    <w:lvl w:ilvl="0" w:tplc="F118DE3A">
      <w:start w:val="1"/>
      <w:numFmt w:val="bullet"/>
      <w:lvlText w:val="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80DB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8296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8AC7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87DF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2E67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2E31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08CB5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AEBA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D236E6"/>
    <w:multiLevelType w:val="hybridMultilevel"/>
    <w:tmpl w:val="9E20B154"/>
    <w:lvl w:ilvl="0" w:tplc="5C7C679C">
      <w:start w:val="1"/>
      <w:numFmt w:val="bullet"/>
      <w:lvlText w:val="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CEC8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EEA0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B8A0A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2EEE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7E98D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2319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431B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8FAC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14"/>
    <w:rsid w:val="00072914"/>
    <w:rsid w:val="00246131"/>
    <w:rsid w:val="0049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2CB8E-4973-4E9E-9811-E5639C43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50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96"/>
      <w:ind w:left="202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96"/>
      <w:ind w:left="2026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6735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I.S.I.P.H</dc:creator>
  <cp:keywords/>
  <cp:lastModifiedBy>Giuseppe Perri</cp:lastModifiedBy>
  <cp:revision>3</cp:revision>
  <dcterms:created xsi:type="dcterms:W3CDTF">2024-07-10T09:18:00Z</dcterms:created>
  <dcterms:modified xsi:type="dcterms:W3CDTF">2024-07-10T09:18:00Z</dcterms:modified>
</cp:coreProperties>
</file>