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GESTION CONTEMPORAINE DES ENTREPRISES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ECONOMIQUES ET DE GESTION</w:t>
      </w: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71 56 50 U32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702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>
      <w:pPr>
        <w:jc w:val="center"/>
        <w:rPr>
          <w:b/>
          <w:bCs/>
        </w:rPr>
      </w:pPr>
    </w:p>
    <w:p>
      <w:pPr>
        <w:rPr>
          <w:b/>
          <w:bCs/>
        </w:rPr>
      </w:pPr>
    </w:p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2020,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GESTION CONTEMPORAINE DES ENTREPRISES</w:t>
            </w:r>
          </w:p>
          <w:p>
            <w:pPr>
              <w:jc w:val="center"/>
              <w:rPr>
                <w:b/>
                <w:caps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 :</w:t>
      </w:r>
    </w:p>
    <w:p>
      <w:pPr>
        <w:numPr>
          <w:ilvl w:val="0"/>
          <w:numId w:val="12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s’initier aux méthodes contemporaines d’organisation et de gestion des entreprises ;</w:t>
      </w:r>
    </w:p>
    <w:p>
      <w:pPr>
        <w:numPr>
          <w:ilvl w:val="0"/>
          <w:numId w:val="12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porter un regard critique sur l’évolution des systèmes de gestion des entreprises ;</w:t>
      </w:r>
    </w:p>
    <w:p>
      <w:pPr>
        <w:numPr>
          <w:ilvl w:val="0"/>
          <w:numId w:val="12"/>
        </w:numPr>
        <w:tabs>
          <w:tab w:val="left" w:pos="851"/>
          <w:tab w:val="left" w:pos="993"/>
          <w:tab w:val="left" w:pos="1418"/>
          <w:tab w:val="left" w:pos="3969"/>
          <w:tab w:val="left" w:pos="5670"/>
          <w:tab w:val="left" w:pos="7371"/>
        </w:tabs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d'appréhender les stratégies à mettre en œuvre dans le domaine de la création d'entreprise, de la comptabilité et de la gestion financière et commerciale.</w:t>
      </w:r>
    </w:p>
    <w:p>
      <w:pPr>
        <w:suppressAutoHyphens w:val="0"/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spacing w:after="120"/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au départ d’un cas pratique relevant de la création, de l’organisation et de la gestion d’une entreprise,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socio-économiques, écologiques et juridiques,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et/ou,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numPr>
          <w:ilvl w:val="0"/>
          <w:numId w:val="12"/>
        </w:numPr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</w:rPr>
      </w:pPr>
      <w:r>
        <w:rPr>
          <w:rFonts w:ascii="Century Gothic ,sans-serif" w:hAnsi="Century Gothic ,sans-serif"/>
          <w:sz w:val="22"/>
          <w:szCs w:val="22"/>
        </w:rPr>
        <w:t>de s’intégrer dans un travail d’équipe et d’appliquer la méthodologie de gestion de projet à une création de mini-entreprise ;</w:t>
      </w:r>
    </w:p>
    <w:p>
      <w:pPr>
        <w:numPr>
          <w:ilvl w:val="0"/>
          <w:numId w:val="12"/>
        </w:numPr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de présenter et de défendre un rapport circonstancié mettant en évidence :</w:t>
      </w:r>
    </w:p>
    <w:p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la méthodologie suivie,</w:t>
      </w:r>
    </w:p>
    <w:p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l’analyse critique des résultats,</w:t>
      </w:r>
    </w:p>
    <w:p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l’auto-évaluation.</w:t>
      </w:r>
    </w:p>
    <w:p>
      <w:pPr>
        <w:tabs>
          <w:tab w:val="left" w:pos="-720"/>
        </w:tabs>
        <w:spacing w:after="120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numPr>
          <w:ilvl w:val="0"/>
          <w:numId w:val="4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uppressAutoHyphens w:val="0"/>
        <w:spacing w:after="120"/>
        <w:ind w:left="78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pStyle w:val="Paragraphedeliste"/>
        <w:spacing w:after="120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au départ de cas pratiques relevant de la création, de l’organisation et de la gestion d’une entreprise,</w:t>
      </w:r>
    </w:p>
    <w:p>
      <w:pPr>
        <w:pStyle w:val="Paragraphedeliste"/>
        <w:spacing w:after="120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tenant compte des réalités socio-économiques, écologiques et juridiques,</w:t>
      </w:r>
    </w:p>
    <w:p>
      <w:pPr>
        <w:pStyle w:val="Paragraphedeliste"/>
        <w:spacing w:after="120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disposant de la documentation ad hoc en langue française et/ou, en langue anglaise,</w:t>
      </w:r>
    </w:p>
    <w:p>
      <w:pPr>
        <w:pStyle w:val="Paragraphedeliste"/>
        <w:spacing w:after="120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Paragraphedeliste"/>
        <w:spacing w:after="120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développant des compétences d’esprit critique,</w:t>
      </w:r>
    </w:p>
    <w:p>
      <w:pPr>
        <w:pStyle w:val="Paragraphedeliste"/>
        <w:spacing w:after="120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les structures, le mode d’organisation et les aspects de la gestion en se référant aux principes fondamentaux de management ;</w:t>
      </w:r>
    </w:p>
    <w:p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d’acquérir les concepts fondamentaux relatifs à :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t>la création d’une entreprise (analyse SWOT, étude de marché, plan financier…),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la structure de l’entreprise,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t>le type d’entreprise,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t>l’implantation de l’entreprise (du local à l’international) et les relations inter-entreprises (concurrence, émergence des groupes, ...),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t>la logique des choix financiers de l’entreprise ; </w:t>
      </w:r>
    </w:p>
    <w:p>
      <w:pPr>
        <w:numPr>
          <w:ilvl w:val="0"/>
          <w:numId w:val="14"/>
        </w:numPr>
        <w:suppressAutoHyphens w:val="0"/>
        <w:autoSpaceDE w:val="0"/>
        <w:autoSpaceDN w:val="0"/>
        <w:spacing w:after="120"/>
        <w:ind w:hanging="500"/>
        <w:jc w:val="both"/>
        <w:rPr>
          <w:sz w:val="22"/>
          <w:szCs w:val="22"/>
        </w:rPr>
      </w:pPr>
      <w:r>
        <w:rPr>
          <w:sz w:val="22"/>
          <w:szCs w:val="22"/>
        </w:rPr>
        <w:t>… ;</w:t>
      </w:r>
    </w:p>
    <w:p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critiquer les structures de pouvoir de l’entreprise, visant à organiser le système d’information et de communication et à appliquer les concepts et techniques de prise de décision ;</w:t>
      </w:r>
    </w:p>
    <w:p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les méthodes contemporaines de gestion en termes de développement durable ;</w:t>
      </w:r>
    </w:p>
    <w:p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principales opérations comptables de l’entreprise.</w:t>
      </w:r>
    </w:p>
    <w:p>
      <w:pPr>
        <w:pStyle w:val="Paragraphedeliste"/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jc w:val="both"/>
        <w:rPr>
          <w:b/>
          <w:sz w:val="22"/>
          <w:szCs w:val="22"/>
          <w:u w:val="singl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Chaque groupe sera constitué d’au moins deux étudiants.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512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gestion contemporaine des entreprises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708" w:hanging="708"/>
        <w:rPr>
          <w:sz w:val="22"/>
        </w:rPr>
      </w:pPr>
    </w:p>
    <w:sectPr>
      <w:footerReference w:type="default" r:id="rId7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entury Gothic ,sans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Gestion contemporaine des entreprises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1505780054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6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7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8" w15:restartNumberingAfterBreak="0">
    <w:nsid w:val="4E414E78"/>
    <w:multiLevelType w:val="singleLevel"/>
    <w:tmpl w:val="0A327360"/>
    <w:lvl w:ilvl="0">
      <w:numFmt w:val="bullet"/>
      <w:lvlText w:val=""/>
      <w:lvlJc w:val="left"/>
      <w:pPr>
        <w:ind w:left="360" w:hanging="360"/>
      </w:pPr>
      <w:rPr>
        <w:rFonts w:ascii="Symbol" w:hAnsi="Symbol" w:hint="default"/>
        <w:b/>
        <w:i w:val="0"/>
        <w:sz w:val="22"/>
        <w:szCs w:val="22"/>
      </w:rPr>
    </w:lvl>
  </w:abstractNum>
  <w:abstractNum w:abstractNumId="9" w15:restartNumberingAfterBreak="0">
    <w:nsid w:val="54D66251"/>
    <w:multiLevelType w:val="hybridMultilevel"/>
    <w:tmpl w:val="68502B1E"/>
    <w:lvl w:ilvl="0" w:tplc="858CDF16">
      <w:start w:val="1"/>
      <w:numFmt w:val="bullet"/>
      <w:lvlText w:val=""/>
      <w:lvlJc w:val="left"/>
      <w:pPr>
        <w:ind w:left="1351" w:hanging="360"/>
      </w:pPr>
      <w:rPr>
        <w:rFonts w:ascii="Symbol" w:hAnsi="Symbol" w:hint="default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0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1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1"/>
  </w:num>
  <w:num w:numId="5">
    <w:abstractNumId w:val="7"/>
  </w:num>
  <w:num w:numId="6">
    <w:abstractNumId w:val="12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2"/>
  </w:num>
  <w:num w:numId="10">
    <w:abstractNumId w:val="6"/>
  </w:num>
  <w:num w:numId="11">
    <w:abstractNumId w:val="5"/>
  </w:num>
  <w:num w:numId="1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0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14">
    <w:abstractNumId w:val="9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DD9AF87-19F0-478F-A083-60FCCB4F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NormalWeb">
    <w:name w:val="Normal (Web)"/>
    <w:basedOn w:val="Normal"/>
    <w:uiPriority w:val="99"/>
    <w:semiHidden/>
    <w:unhideWhenUsed/>
    <w:pPr>
      <w:suppressAutoHyphens w:val="0"/>
      <w:spacing w:before="100" w:beforeAutospacing="1" w:after="100" w:afterAutospacing="1"/>
    </w:pPr>
    <w:rPr>
      <w:rFonts w:eastAsiaTheme="minorHAnsi"/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5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4</cp:revision>
  <cp:lastPrinted>2020-04-02T08:38:00Z</cp:lastPrinted>
  <dcterms:created xsi:type="dcterms:W3CDTF">2020-04-28T13:18:00Z</dcterms:created>
  <dcterms:modified xsi:type="dcterms:W3CDTF">2021-02-15T15:28:00Z</dcterms:modified>
</cp:coreProperties>
</file>