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  <w:lang w:eastAsia="fr-FR"/>
          </w:rPr>
          <w:t>LA COMMUNAUTE FRANCAISE</w:t>
        </w:r>
      </w:smartTag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STABILITE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32 51 66 U31 D2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303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  <w:bookmarkStart w:id="2" w:name="_GoBack"/>
      <w:bookmarkEnd w:id="2"/>
      <w:r>
        <w:rPr>
          <w:b/>
          <w:sz w:val="22"/>
          <w:szCs w:val="22"/>
          <w:lang w:eastAsia="fr-FR"/>
        </w:rPr>
        <w:t xml:space="preserve"> </w:t>
      </w:r>
    </w:p>
    <w:p>
      <w:pPr>
        <w:suppressAutoHyphens w:val="0"/>
        <w:jc w:val="center"/>
        <w:rPr>
          <w:b/>
          <w:sz w:val="18"/>
          <w:szCs w:val="18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</w:p>
    <w:bookmarkEnd w:id="0"/>
    <w:p>
      <w:pPr>
        <w:rPr>
          <w:lang w:val="fr-BE"/>
        </w:rPr>
      </w:pPr>
      <w:r>
        <w:rPr>
          <w:sz w:val="32"/>
          <w:szCs w:val="32"/>
          <w:lang w:eastAsia="fr-FR"/>
        </w:rPr>
        <w:br w:type="page"/>
      </w:r>
      <w:bookmarkEnd w:id="1"/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3" w:name="_Hlk516242882"/>
            <w:r>
              <w:rPr>
                <w:b/>
                <w:bCs/>
                <w:sz w:val="32"/>
                <w:szCs w:val="32"/>
              </w:rPr>
              <w:t>STABILITE</w:t>
            </w:r>
          </w:p>
          <w:bookmarkEnd w:id="3"/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bookmarkStart w:id="4" w:name="FIP"/>
      <w:bookmarkEnd w:id="4"/>
      <w:r>
        <w:rPr>
          <w:sz w:val="22"/>
        </w:rPr>
        <w:t>Cette unité d'enseignement a pour but d’amener l’étudiant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à analyser tout type de structure en matière de dimensionnement et de calcul d'éléments simples de construction en béton armé, en bois et en structures métalliques 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à lire et à concevoir des plans de construction en béton armé, en bois et  en structures métalliques.</w:t>
      </w: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Capacités</w:t>
      </w:r>
      <w:r>
        <w:rPr>
          <w:b/>
          <w:sz w:val="22"/>
        </w:rPr>
        <w:br/>
      </w:r>
    </w:p>
    <w:p>
      <w:pPr>
        <w:suppressAutoHyphens w:val="0"/>
        <w:spacing w:after="120"/>
        <w:ind w:left="851"/>
        <w:jc w:val="both"/>
        <w:rPr>
          <w:b/>
          <w:sz w:val="22"/>
        </w:rPr>
      </w:pPr>
      <w:r>
        <w:rPr>
          <w:b/>
          <w:sz w:val="22"/>
        </w:rPr>
        <w:t xml:space="preserve">En résistance des matériaux, </w:t>
      </w:r>
    </w:p>
    <w:p>
      <w:pPr>
        <w:suppressAutoHyphens w:val="0"/>
        <w:spacing w:after="120"/>
        <w:ind w:left="851"/>
        <w:jc w:val="both"/>
        <w:rPr>
          <w:i/>
          <w:sz w:val="22"/>
        </w:rPr>
      </w:pPr>
    </w:p>
    <w:p>
      <w:pPr>
        <w:suppressAutoHyphens w:val="0"/>
        <w:spacing w:after="120"/>
        <w:ind w:left="851"/>
        <w:jc w:val="both"/>
        <w:rPr>
          <w:i/>
          <w:sz w:val="22"/>
        </w:rPr>
      </w:pPr>
      <w:r>
        <w:rPr>
          <w:i/>
          <w:sz w:val="22"/>
        </w:rPr>
        <w:t>Sur base de situations issues de la vie professionnelles,</w:t>
      </w:r>
    </w:p>
    <w:p>
      <w:pPr>
        <w:suppressAutoHyphens w:val="0"/>
        <w:spacing w:after="120"/>
        <w:ind w:left="851"/>
        <w:jc w:val="both"/>
        <w:rPr>
          <w:i/>
          <w:sz w:val="22"/>
        </w:rPr>
      </w:pPr>
      <w:proofErr w:type="gramStart"/>
      <w:r>
        <w:rPr>
          <w:i/>
          <w:sz w:val="22"/>
        </w:rPr>
        <w:t>pour</w:t>
      </w:r>
      <w:proofErr w:type="gramEnd"/>
      <w:r>
        <w:rPr>
          <w:i/>
          <w:sz w:val="22"/>
        </w:rPr>
        <w:t xml:space="preserve"> un matériau homogène, </w:t>
      </w:r>
    </w:p>
    <w:p>
      <w:pPr>
        <w:suppressAutoHyphens w:val="0"/>
        <w:spacing w:after="120"/>
        <w:ind w:left="851"/>
        <w:jc w:val="both"/>
        <w:rPr>
          <w:i/>
          <w:sz w:val="22"/>
        </w:rPr>
      </w:pPr>
      <w:proofErr w:type="gramStart"/>
      <w:r>
        <w:rPr>
          <w:i/>
          <w:sz w:val="22"/>
        </w:rPr>
        <w:t>dans</w:t>
      </w:r>
      <w:proofErr w:type="gramEnd"/>
      <w:r>
        <w:rPr>
          <w:i/>
          <w:sz w:val="22"/>
        </w:rPr>
        <w:t xml:space="preserve"> le domaine élastique, </w:t>
      </w:r>
    </w:p>
    <w:p>
      <w:pPr>
        <w:numPr>
          <w:ilvl w:val="12"/>
          <w:numId w:val="0"/>
        </w:numPr>
        <w:ind w:left="567"/>
        <w:rPr>
          <w:b/>
          <w:i/>
          <w:sz w:val="22"/>
        </w:rPr>
      </w:pPr>
    </w:p>
    <w:p>
      <w:pPr>
        <w:numPr>
          <w:ilvl w:val="0"/>
          <w:numId w:val="3"/>
        </w:numPr>
        <w:tabs>
          <w:tab w:val="left" w:pos="360"/>
        </w:tabs>
        <w:suppressAutoHyphens w:val="0"/>
        <w:spacing w:after="120" w:line="276" w:lineRule="auto"/>
        <w:ind w:left="1423" w:hanging="357"/>
        <w:jc w:val="both"/>
        <w:rPr>
          <w:sz w:val="22"/>
        </w:rPr>
      </w:pPr>
      <w:r>
        <w:rPr>
          <w:sz w:val="22"/>
        </w:rPr>
        <w:t xml:space="preserve">définir les sollicitations, établir et interpréter les diagrammes des efforts ; </w:t>
      </w:r>
    </w:p>
    <w:p>
      <w:pPr>
        <w:numPr>
          <w:ilvl w:val="0"/>
          <w:numId w:val="3"/>
        </w:numPr>
        <w:tabs>
          <w:tab w:val="left" w:pos="360"/>
        </w:tabs>
        <w:suppressAutoHyphens w:val="0"/>
        <w:spacing w:after="120" w:line="276" w:lineRule="auto"/>
        <w:ind w:left="1423" w:hanging="357"/>
        <w:jc w:val="both"/>
        <w:rPr>
          <w:sz w:val="22"/>
        </w:rPr>
      </w:pPr>
      <w:r>
        <w:rPr>
          <w:sz w:val="22"/>
        </w:rPr>
        <w:t xml:space="preserve">expliquer les principes généraux du dimensionnement d’éléments de construction et du calcul des déformées. </w:t>
      </w:r>
    </w:p>
    <w:p>
      <w:pPr>
        <w:suppressAutoHyphens w:val="0"/>
        <w:spacing w:after="120"/>
        <w:jc w:val="both"/>
        <w:rPr>
          <w:i/>
          <w:sz w:val="22"/>
        </w:rPr>
      </w:pPr>
    </w:p>
    <w:p>
      <w:pPr>
        <w:tabs>
          <w:tab w:val="left" w:pos="360"/>
        </w:tabs>
        <w:suppressAutoHyphens w:val="0"/>
        <w:rPr>
          <w:sz w:val="22"/>
          <w:szCs w:val="22"/>
        </w:rPr>
      </w:pPr>
    </w:p>
    <w:p>
      <w:pPr>
        <w:numPr>
          <w:ilvl w:val="1"/>
          <w:numId w:val="2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ind w:left="360"/>
        <w:rPr>
          <w:b/>
          <w:sz w:val="22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lastRenderedPageBreak/>
        <w:t>Attestation de réussite de l'unité d’enseignement « résistance des matériaux », code n° 325108U31D2,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bookmarkStart w:id="5" w:name="CAT"/>
      <w:bookmarkEnd w:id="5"/>
      <w:r>
        <w:rPr>
          <w:b/>
          <w:sz w:val="22"/>
          <w:szCs w:val="22"/>
        </w:rPr>
        <w:t>Pour atteindre le seuil de réussite</w:t>
      </w:r>
      <w:r>
        <w:rPr>
          <w:sz w:val="22"/>
          <w:szCs w:val="22"/>
        </w:rPr>
        <w:t>, l'étudiant sera capable,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 </w:t>
      </w: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normes en vigueur,</w:t>
      </w: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utilisant la documentation technique adéquate,</w:t>
      </w:r>
    </w:p>
    <w:p>
      <w:pPr>
        <w:numPr>
          <w:ilvl w:val="12"/>
          <w:numId w:val="0"/>
        </w:numPr>
        <w:ind w:left="284"/>
        <w:rPr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d’analyser, d’interpréter et de critiquer des documents techniques relatifs au dimensionnement de structure simple en béton, en métal ou en bois ;    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et de dimensionner au moins un élément d’une structure simple en béton, en métal ou en bois 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dessiner le plan d’au moins un  élément d’une structure simple en béton, en métal ou en bois en respectant les normes de représentation.</w:t>
      </w:r>
      <w:r>
        <w:rPr>
          <w:sz w:val="22"/>
          <w:szCs w:val="22"/>
          <w:lang w:val="fr-BE"/>
        </w:rPr>
        <w:br/>
      </w:r>
    </w:p>
    <w:p>
      <w:pPr>
        <w:suppressAutoHyphens w:val="0"/>
        <w:spacing w:after="120"/>
        <w:ind w:left="708"/>
        <w:jc w:val="both"/>
        <w:rPr>
          <w:sz w:val="22"/>
          <w:szCs w:val="22"/>
          <w:lang w:val="fr-BE"/>
        </w:rPr>
      </w:pPr>
      <w:r>
        <w:rPr>
          <w:b/>
          <w:sz w:val="22"/>
          <w:szCs w:val="22"/>
          <w:lang w:val="fr-BE"/>
        </w:rPr>
        <w:t>Pour la détermination du degré de maîtrise</w:t>
      </w:r>
      <w:r>
        <w:rPr>
          <w:sz w:val="22"/>
          <w:szCs w:val="22"/>
          <w:lang w:val="fr-BE"/>
        </w:rPr>
        <w:t>, il sera tenu compte des critères suivants 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cohérence : la capacité à établir une majorité de liens logiques pour former un ensemble organisé,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précision : la clarté, la concision, la rigueur au niveau de la terminologie, des concepts et des techniques/principes/modèles/plans,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uppressAutoHyphens w:val="0"/>
        <w:spacing w:after="120"/>
        <w:ind w:left="839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14"/>
        </w:numPr>
        <w:suppressAutoHyphens w:val="0"/>
        <w:jc w:val="both"/>
        <w:rPr>
          <w:sz w:val="22"/>
          <w:u w:val="single"/>
        </w:rPr>
      </w:pPr>
      <w:r>
        <w:rPr>
          <w:b/>
          <w:sz w:val="22"/>
          <w:u w:val="single"/>
        </w:rPr>
        <w:t xml:space="preserve">PROGRAMME </w:t>
      </w:r>
    </w:p>
    <w:p>
      <w:pPr>
        <w:numPr>
          <w:ilvl w:val="12"/>
          <w:numId w:val="0"/>
        </w:numPr>
        <w:rPr>
          <w:sz w:val="22"/>
          <w:u w:val="single"/>
        </w:rPr>
      </w:pPr>
    </w:p>
    <w:p>
      <w:pPr>
        <w:numPr>
          <w:ilvl w:val="12"/>
          <w:numId w:val="0"/>
        </w:numPr>
        <w:rPr>
          <w:sz w:val="22"/>
          <w:u w:val="single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 xml:space="preserve">L'étudiant sera capable, 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selon les dispositions des Eurocodes en </w:t>
      </w:r>
      <w:proofErr w:type="gramStart"/>
      <w:r>
        <w:rPr>
          <w:i/>
          <w:sz w:val="22"/>
          <w:szCs w:val="22"/>
        </w:rPr>
        <w:t>vigueur ,</w:t>
      </w:r>
      <w:proofErr w:type="gramEnd"/>
      <w:r>
        <w:rPr>
          <w:i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utilisant la documentation technique adéquate,</w:t>
      </w:r>
    </w:p>
    <w:p>
      <w:pPr>
        <w:numPr>
          <w:ilvl w:val="12"/>
          <w:numId w:val="0"/>
        </w:numPr>
        <w:ind w:left="284"/>
        <w:rPr>
          <w:i/>
          <w:strike/>
          <w:sz w:val="22"/>
          <w:szCs w:val="22"/>
        </w:rPr>
      </w:pPr>
    </w:p>
    <w:p>
      <w:pPr>
        <w:numPr>
          <w:ilvl w:val="12"/>
          <w:numId w:val="0"/>
        </w:numPr>
        <w:rPr>
          <w:sz w:val="22"/>
          <w:u w:val="single"/>
        </w:rPr>
      </w:pPr>
    </w:p>
    <w:p>
      <w:pPr>
        <w:numPr>
          <w:ilvl w:val="0"/>
          <w:numId w:val="15"/>
        </w:numPr>
        <w:suppressAutoHyphens w:val="0"/>
        <w:jc w:val="both"/>
        <w:rPr>
          <w:sz w:val="22"/>
        </w:rPr>
      </w:pPr>
      <w:r>
        <w:rPr>
          <w:b/>
          <w:sz w:val="22"/>
        </w:rPr>
        <w:t xml:space="preserve">En béton armé </w:t>
      </w:r>
    </w:p>
    <w:p>
      <w:pPr>
        <w:rPr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citer et d’expliquer les principales caractéristiques mécaniques des matériaux béton et acier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décrire le principe d’adhérence relatif aux armatures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d’expliquer le positionnement des armatures principales dans un élément en béton armé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un élément :</w:t>
      </w:r>
    </w:p>
    <w:p>
      <w:pPr>
        <w:numPr>
          <w:ilvl w:val="0"/>
          <w:numId w:val="21"/>
        </w:numPr>
        <w:suppressAutoHyphens w:val="0"/>
        <w:ind w:left="1560"/>
        <w:rPr>
          <w:sz w:val="22"/>
        </w:rPr>
      </w:pPr>
      <w:r>
        <w:rPr>
          <w:sz w:val="22"/>
        </w:rPr>
        <w:t>en compression et/ou traction simple,</w:t>
      </w:r>
    </w:p>
    <w:p>
      <w:pPr>
        <w:numPr>
          <w:ilvl w:val="0"/>
          <w:numId w:val="21"/>
        </w:numPr>
        <w:suppressAutoHyphens w:val="0"/>
        <w:ind w:left="1560"/>
        <w:rPr>
          <w:sz w:val="22"/>
        </w:rPr>
      </w:pPr>
      <w:r>
        <w:rPr>
          <w:sz w:val="22"/>
        </w:rPr>
        <w:t>en flexion simple,</w:t>
      </w:r>
    </w:p>
    <w:p>
      <w:pPr>
        <w:numPr>
          <w:ilvl w:val="0"/>
          <w:numId w:val="21"/>
        </w:numPr>
        <w:suppressAutoHyphens w:val="0"/>
        <w:ind w:left="1560"/>
        <w:rPr>
          <w:sz w:val="22"/>
        </w:rPr>
      </w:pPr>
      <w:r>
        <w:rPr>
          <w:sz w:val="22"/>
        </w:rPr>
        <w:lastRenderedPageBreak/>
        <w:t>à l’effort tranchant.</w:t>
      </w:r>
    </w:p>
    <w:p>
      <w:pPr>
        <w:rPr>
          <w:sz w:val="22"/>
        </w:rPr>
      </w:pPr>
    </w:p>
    <w:p>
      <w:pPr>
        <w:numPr>
          <w:ilvl w:val="0"/>
          <w:numId w:val="15"/>
        </w:numPr>
        <w:suppressAutoHyphens w:val="0"/>
        <w:jc w:val="both"/>
        <w:rPr>
          <w:b/>
          <w:sz w:val="22"/>
        </w:rPr>
      </w:pPr>
      <w:r>
        <w:rPr>
          <w:b/>
          <w:sz w:val="22"/>
        </w:rPr>
        <w:t>En construction métallique</w:t>
      </w:r>
    </w:p>
    <w:p>
      <w:pPr>
        <w:ind w:left="284"/>
        <w:rPr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d’expliquer les processus de base de fabrication de l’acier et de mise en forme des produits laminés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désigner les aciers selon leur résistance, leur composition, leur nuance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les efforts dans les membrures d’un treillis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rechercher et de choisir dans un catalogue les profilés métalliques adéquats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de décrire les systèmes d’assemblages (boulons, soudures,...), et d’expliquer leur mise en</w:t>
      </w:r>
      <w:r>
        <w:rPr>
          <w:sz w:val="22"/>
        </w:rPr>
        <w:t xml:space="preserve"> </w:t>
      </w:r>
      <w:proofErr w:type="gramStart"/>
      <w:r>
        <w:rPr>
          <w:sz w:val="22"/>
        </w:rPr>
        <w:t>œuvre  ;</w:t>
      </w:r>
      <w:proofErr w:type="gramEnd"/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et de dimensionner un ou plusieurs éléments simples de construction métallique (longeron de pont, ferme de toiture,...) 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d’expliquer les problèmes liés à la résistance au feu des structures métalliques ainsi que les solutions qui peuvent y être apportées.</w:t>
      </w:r>
    </w:p>
    <w:p>
      <w:pPr>
        <w:suppressAutoHyphens w:val="0"/>
        <w:spacing w:before="120"/>
        <w:ind w:left="1003"/>
        <w:jc w:val="both"/>
        <w:rPr>
          <w:sz w:val="22"/>
        </w:rPr>
      </w:pPr>
    </w:p>
    <w:p>
      <w:pPr>
        <w:numPr>
          <w:ilvl w:val="0"/>
          <w:numId w:val="15"/>
        </w:numPr>
        <w:suppressAutoHyphens w:val="0"/>
        <w:jc w:val="both"/>
        <w:rPr>
          <w:b/>
          <w:sz w:val="22"/>
        </w:rPr>
      </w:pPr>
      <w:r>
        <w:rPr>
          <w:b/>
          <w:sz w:val="22"/>
        </w:rPr>
        <w:t xml:space="preserve">   En construction en bois :</w:t>
      </w:r>
    </w:p>
    <w:p>
      <w:pPr>
        <w:suppressAutoHyphens w:val="0"/>
        <w:ind w:left="568"/>
        <w:jc w:val="both"/>
        <w:rPr>
          <w:b/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citer et d’expliquer les principales caractéristiques du matériau bois ainsi que de ses principaux usages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décrire les différentes techniques de construction en bois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les éléments d’une structure poutres et poteaux ;</w:t>
      </w:r>
    </w:p>
    <w:p>
      <w:pPr>
        <w:suppressAutoHyphens w:val="0"/>
        <w:spacing w:after="120"/>
        <w:ind w:left="839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15"/>
        </w:numPr>
        <w:suppressAutoHyphens w:val="0"/>
        <w:jc w:val="both"/>
        <w:rPr>
          <w:b/>
          <w:sz w:val="22"/>
        </w:rPr>
      </w:pPr>
      <w:r>
        <w:rPr>
          <w:b/>
          <w:sz w:val="22"/>
          <w:szCs w:val="22"/>
        </w:rPr>
        <w:t xml:space="preserve">   En </w:t>
      </w:r>
      <w:r>
        <w:rPr>
          <w:b/>
          <w:sz w:val="22"/>
        </w:rPr>
        <w:t xml:space="preserve">laboratoire : dessin de structure </w:t>
      </w:r>
    </w:p>
    <w:p>
      <w:pPr>
        <w:suppressAutoHyphens w:val="0"/>
        <w:ind w:left="568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284"/>
        <w:rPr>
          <w:sz w:val="22"/>
          <w:szCs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réaliser les plans généraux d’une structure simple en béton armé, métallique ou en bois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lire et de comprendre les plans de détail d’une structure simple en béton armé, métallique ou en bois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d’établir les bordereaux spécifiques de matériaux.</w:t>
      </w:r>
    </w:p>
    <w:p>
      <w:pPr>
        <w:tabs>
          <w:tab w:val="left" w:pos="142"/>
        </w:tabs>
        <w:spacing w:before="120"/>
        <w:ind w:left="165"/>
        <w:rPr>
          <w:b/>
          <w:sz w:val="22"/>
        </w:rPr>
      </w:pPr>
    </w:p>
    <w:p>
      <w:p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5. 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b/>
          <w:sz w:val="22"/>
        </w:rPr>
      </w:pPr>
      <w:r>
        <w:rPr>
          <w:b/>
          <w:sz w:val="22"/>
        </w:rPr>
        <w:t>6. CONSTITUTION DES GROUPES OU REGROUPEMENT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Pour le cours de laboratoire : dessin de structure, il est recommandé de ne pas dépasser deux étudiants par poste de travail et vingt étudiants par groupe.</w:t>
      </w:r>
    </w:p>
    <w:p>
      <w:pPr>
        <w:rPr>
          <w:color w:val="FF0000"/>
        </w:rPr>
      </w:pPr>
    </w:p>
    <w:p>
      <w:pPr>
        <w:rPr>
          <w:b/>
          <w:sz w:val="22"/>
        </w:rPr>
      </w:pPr>
      <w:r>
        <w:rPr>
          <w:b/>
          <w:sz w:val="22"/>
        </w:rPr>
        <w:t>7. 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0" w:type="auto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276"/>
        <w:gridCol w:w="1103"/>
        <w:gridCol w:w="1898"/>
      </w:tblGrid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sz w:val="22"/>
              </w:rPr>
            </w:pPr>
            <w:r>
              <w:rPr>
                <w:b/>
                <w:sz w:val="22"/>
              </w:rPr>
              <w:t>7.1. Dénomination des cours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36"/>
              <w:rPr>
                <w:sz w:val="22"/>
              </w:rPr>
            </w:pPr>
            <w:r>
              <w:rPr>
                <w:sz w:val="22"/>
              </w:rPr>
              <w:lastRenderedPageBreak/>
              <w:t>Béton armé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J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36"/>
              <w:rPr>
                <w:sz w:val="22"/>
              </w:rPr>
            </w:pPr>
            <w:r>
              <w:rPr>
                <w:sz w:val="22"/>
              </w:rPr>
              <w:t>Construction métallique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J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b/>
                <w:sz w:val="22"/>
              </w:rPr>
            </w:pPr>
            <w:r>
              <w:rPr>
                <w:sz w:val="22"/>
              </w:rPr>
              <w:t>Construction en bois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J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Laboratoire : dessin de structure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E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sz w:val="22"/>
              </w:rPr>
            </w:pPr>
            <w:r>
              <w:rPr>
                <w:b/>
                <w:sz w:val="22"/>
              </w:rPr>
              <w:t>7.2. Part d'autonomie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rPr>
          <w:cantSplit/>
          <w:trHeight w:val="305"/>
        </w:trPr>
        <w:tc>
          <w:tcPr>
            <w:tcW w:w="4500" w:type="dxa"/>
          </w:tcPr>
          <w:p>
            <w:pPr>
              <w:pStyle w:val="Titre7"/>
              <w:rPr>
                <w:b/>
                <w:i w:val="0"/>
              </w:rPr>
            </w:pPr>
            <w:r>
              <w:rPr>
                <w:b/>
                <w:i w:val="0"/>
              </w:rPr>
              <w:t>Total des périodes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</w:tbl>
    <w:p>
      <w:pPr>
        <w:ind w:left="708" w:hanging="708"/>
        <w:rPr>
          <w:sz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851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Bachelier en construction - UE Stabilité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B13DC7"/>
    <w:multiLevelType w:val="hybridMultilevel"/>
    <w:tmpl w:val="E4FE7696"/>
    <w:lvl w:ilvl="0" w:tplc="6B54F450">
      <w:start w:val="1"/>
      <w:numFmt w:val="bullet"/>
      <w:lvlText w:val=""/>
      <w:lvlJc w:val="left"/>
      <w:pPr>
        <w:ind w:left="1834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3" w15:restartNumberingAfterBreak="0">
    <w:nsid w:val="01763636"/>
    <w:multiLevelType w:val="hybridMultilevel"/>
    <w:tmpl w:val="D396CD52"/>
    <w:lvl w:ilvl="0" w:tplc="B7F27220">
      <w:start w:val="1"/>
      <w:numFmt w:val="bullet"/>
      <w:lvlText w:val=""/>
      <w:lvlJc w:val="left"/>
      <w:pPr>
        <w:ind w:left="1788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9D272E1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B4172ED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</w:rPr>
    </w:lvl>
  </w:abstractNum>
  <w:abstractNum w:abstractNumId="6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791F73"/>
    <w:multiLevelType w:val="hybridMultilevel"/>
    <w:tmpl w:val="6A8C1A7A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4807662"/>
    <w:multiLevelType w:val="singleLevel"/>
    <w:tmpl w:val="D7FA18F0"/>
    <w:lvl w:ilvl="0">
      <w:start w:val="1"/>
      <w:numFmt w:val="decimal"/>
      <w:lvlText w:val="4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11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4E20E93"/>
    <w:multiLevelType w:val="hybridMultilevel"/>
    <w:tmpl w:val="8026B2DE"/>
    <w:lvl w:ilvl="0" w:tplc="6B54F450">
      <w:start w:val="1"/>
      <w:numFmt w:val="bullet"/>
      <w:lvlText w:val=""/>
      <w:lvlJc w:val="left"/>
      <w:pPr>
        <w:ind w:left="2185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hint="default"/>
      </w:rPr>
    </w:lvl>
  </w:abstractNum>
  <w:abstractNum w:abstractNumId="13" w15:restartNumberingAfterBreak="0">
    <w:nsid w:val="39D56924"/>
    <w:multiLevelType w:val="singleLevel"/>
    <w:tmpl w:val="8CEA544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14" w15:restartNumberingAfterBreak="0">
    <w:nsid w:val="44BE601A"/>
    <w:multiLevelType w:val="singleLevel"/>
    <w:tmpl w:val="FFFFFFFF"/>
    <w:lvl w:ilvl="0">
      <w:numFmt w:val="decimal"/>
      <w:lvlText w:val="*"/>
      <w:lvlJc w:val="left"/>
    </w:lvl>
  </w:abstractNum>
  <w:abstractNum w:abstractNumId="15" w15:restartNumberingAfterBreak="0">
    <w:nsid w:val="51D6379C"/>
    <w:multiLevelType w:val="hybridMultilevel"/>
    <w:tmpl w:val="4F72427C"/>
    <w:lvl w:ilvl="0" w:tplc="040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547B3053"/>
    <w:multiLevelType w:val="hybridMultilevel"/>
    <w:tmpl w:val="BBA894DC"/>
    <w:lvl w:ilvl="0" w:tplc="66AEB82A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color w:val="auto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9A72801"/>
    <w:multiLevelType w:val="multilevel"/>
    <w:tmpl w:val="F3D002A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15"/>
        </w:tabs>
        <w:ind w:left="61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95"/>
        </w:tabs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440"/>
      </w:pPr>
      <w:rPr>
        <w:rFonts w:hint="default"/>
      </w:rPr>
    </w:lvl>
  </w:abstractNum>
  <w:abstractNum w:abstractNumId="19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30637"/>
    <w:multiLevelType w:val="singleLevel"/>
    <w:tmpl w:val="FFFFFFFF"/>
    <w:lvl w:ilvl="0">
      <w:numFmt w:val="decimal"/>
      <w:lvlText w:val="*"/>
      <w:lvlJc w:val="left"/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9"/>
  </w:num>
  <w:num w:numId="5">
    <w:abstractNumId w:val="8"/>
  </w:num>
  <w:num w:numId="6">
    <w:abstractNumId w:val="17"/>
  </w:num>
  <w:num w:numId="7">
    <w:abstractNumId w:val="7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6"/>
  </w:num>
  <w:num w:numId="11">
    <w:abstractNumId w:val="14"/>
  </w:num>
  <w:num w:numId="12">
    <w:abstractNumId w:val="3"/>
  </w:num>
  <w:num w:numId="13">
    <w:abstractNumId w:val="5"/>
  </w:num>
  <w:num w:numId="14">
    <w:abstractNumId w:val="13"/>
  </w:num>
  <w:num w:numId="15">
    <w:abstractNumId w:val="10"/>
  </w:num>
  <w:num w:numId="16">
    <w:abstractNumId w:val="18"/>
  </w:num>
  <w:num w:numId="17">
    <w:abstractNumId w:val="4"/>
  </w:num>
  <w:num w:numId="18">
    <w:abstractNumId w:val="12"/>
  </w:num>
  <w:num w:numId="19">
    <w:abstractNumId w:val="20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EA308DC-D2B2-436A-882F-E0388BF1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Times New Roman" w:eastAsia="Times New Roman" w:hAnsi="Times New Roman" w:cs="Times New Roman"/>
      <w:sz w:val="16"/>
      <w:szCs w:val="16"/>
      <w:lang w:val="fr-FR"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8</cp:revision>
  <cp:lastPrinted>2017-12-18T13:10:00Z</cp:lastPrinted>
  <dcterms:created xsi:type="dcterms:W3CDTF">2018-07-06T08:32:00Z</dcterms:created>
  <dcterms:modified xsi:type="dcterms:W3CDTF">2019-10-02T11:59:00Z</dcterms:modified>
</cp:coreProperties>
</file>