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spacing w:after="120"/>
        <w:contextualSpacing/>
        <w:jc w:val="center"/>
        <w:rPr>
          <w:rFonts w:ascii="Times New Roman" w:hAnsi="Times New Roman"/>
          <w:b/>
          <w:noProof w:val="0"/>
          <w:sz w:val="22"/>
          <w:szCs w:val="22"/>
          <w:lang w:val="fr-FR"/>
        </w:rPr>
      </w:pPr>
      <w:r>
        <w:rPr>
          <w:rFonts w:ascii="Times New Roman" w:hAnsi="Times New Roman"/>
          <w:b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spacing w:after="120"/>
        <w:contextualSpacing/>
        <w:jc w:val="center"/>
        <w:rPr>
          <w:rFonts w:ascii="Times New Roman" w:hAnsi="Times New Roman"/>
          <w:b/>
          <w:noProof w:val="0"/>
          <w:sz w:val="22"/>
          <w:szCs w:val="22"/>
          <w:lang w:val="fr-FR"/>
        </w:rPr>
      </w:pPr>
    </w:p>
    <w:p>
      <w:pPr>
        <w:pStyle w:val="Texte"/>
        <w:spacing w:after="120"/>
        <w:ind w:right="-289"/>
        <w:contextualSpacing/>
        <w:jc w:val="center"/>
        <w:rPr>
          <w:rFonts w:ascii="Times New Roman" w:hAnsi="Times New Roman"/>
          <w:b/>
          <w:noProof w:val="0"/>
          <w:lang w:val="fr-FR"/>
        </w:rPr>
      </w:pPr>
      <w:r>
        <w:rPr>
          <w:rFonts w:ascii="Times New Roman" w:hAnsi="Times New Roman"/>
          <w:b/>
          <w:noProof w:val="0"/>
          <w:lang w:val="fr-FR"/>
        </w:rPr>
        <w:t>ADMINISTRATION GENERALE DE L’ENSEIGNEMENT</w:t>
      </w:r>
    </w:p>
    <w:p>
      <w:pPr>
        <w:pStyle w:val="Texte"/>
        <w:spacing w:after="120"/>
        <w:contextualSpacing/>
        <w:jc w:val="center"/>
        <w:rPr>
          <w:rFonts w:ascii="Times New Roman" w:hAnsi="Times New Roman"/>
          <w:noProof w:val="0"/>
          <w:sz w:val="22"/>
          <w:szCs w:val="22"/>
          <w:lang w:val="fr-FR"/>
        </w:rPr>
      </w:pPr>
    </w:p>
    <w:p>
      <w:pPr>
        <w:pStyle w:val="Texte"/>
        <w:spacing w:after="120"/>
        <w:contextualSpacing/>
        <w:jc w:val="center"/>
        <w:rPr>
          <w:rFonts w:ascii="Times New Roman" w:hAnsi="Times New Roman"/>
          <w:b/>
          <w:noProof w:val="0"/>
          <w:sz w:val="22"/>
          <w:szCs w:val="22"/>
          <w:lang w:val="fr-FR"/>
        </w:rPr>
      </w:pPr>
      <w:r>
        <w:rPr>
          <w:rFonts w:ascii="Times New Roman" w:hAnsi="Times New Roman"/>
          <w:b/>
          <w:noProof w:val="0"/>
          <w:sz w:val="22"/>
          <w:szCs w:val="22"/>
          <w:lang w:val="fr-FR"/>
        </w:rPr>
        <w:t>ENSEIGNEMENT DE PROMOTION SOCIALE</w:t>
      </w: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pStyle w:val="Texte"/>
        <w:spacing w:after="120"/>
        <w:ind w:left="2269" w:right="2602"/>
        <w:contextualSpacing/>
        <w:jc w:val="center"/>
        <w:rPr>
          <w:rFonts w:ascii="Times New Roman" w:hAnsi="Times New Roman"/>
          <w:b/>
          <w:noProof w:val="0"/>
          <w:sz w:val="28"/>
          <w:szCs w:val="28"/>
          <w:lang w:val="fr-FR"/>
        </w:rPr>
      </w:pPr>
    </w:p>
    <w:p>
      <w:pPr>
        <w:pStyle w:val="Texte"/>
        <w:spacing w:after="120"/>
        <w:ind w:left="2269" w:right="2602"/>
        <w:contextualSpacing/>
        <w:jc w:val="center"/>
        <w:rPr>
          <w:rFonts w:ascii="Times New Roman" w:hAnsi="Times New Roman"/>
          <w:b/>
          <w:noProof w:val="0"/>
          <w:sz w:val="28"/>
          <w:szCs w:val="28"/>
          <w:lang w:val="fr-FR"/>
        </w:rPr>
      </w:pPr>
      <w:r>
        <w:rPr>
          <w:rFonts w:ascii="Times New Roman" w:hAnsi="Times New Roman"/>
          <w:b/>
          <w:noProof w:val="0"/>
          <w:sz w:val="28"/>
          <w:szCs w:val="28"/>
          <w:lang w:val="fr-FR"/>
        </w:rPr>
        <w:t>DOSSIER PEDAGOGIQUE</w:t>
      </w:r>
    </w:p>
    <w:p>
      <w:pPr>
        <w:pStyle w:val="Texte"/>
        <w:spacing w:after="120"/>
        <w:ind w:left="2269" w:right="2602"/>
        <w:contextualSpacing/>
        <w:jc w:val="center"/>
        <w:rPr>
          <w:rFonts w:ascii="Times New Roman" w:hAnsi="Times New Roman"/>
          <w:b/>
          <w:noProof w:val="0"/>
          <w:sz w:val="22"/>
          <w:szCs w:val="22"/>
          <w:lang w:val="fr-FR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b/>
          <w:szCs w:val="22"/>
        </w:rPr>
      </w:pPr>
      <w:r>
        <w:rPr>
          <w:b/>
          <w:szCs w:val="22"/>
        </w:rPr>
        <w:t>UNITE D’ENSEIGNEMENT</w:t>
      </w: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pStyle w:val="Corpsdetexte"/>
        <w:spacing w:after="120"/>
        <w:contextualSpacing/>
        <w:rPr>
          <w:szCs w:val="32"/>
        </w:rPr>
      </w:pPr>
      <w:r>
        <w:rPr>
          <w:szCs w:val="32"/>
        </w:rPr>
        <w:t>CHIMIE organique et technologie des materiaux nouveaux</w:t>
      </w: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pStyle w:val="Texte"/>
        <w:spacing w:after="120"/>
        <w:contextualSpacing/>
        <w:jc w:val="center"/>
        <w:rPr>
          <w:rFonts w:ascii="Times New Roman" w:hAnsi="Times New Roman"/>
          <w:b/>
          <w:noProof w:val="0"/>
          <w:sz w:val="22"/>
          <w:szCs w:val="22"/>
          <w:lang w:val="fr-FR"/>
        </w:rPr>
      </w:pPr>
      <w:r>
        <w:rPr>
          <w:rFonts w:ascii="Times New Roman" w:hAnsi="Times New Roman"/>
          <w:b/>
          <w:noProof w:val="0"/>
          <w:sz w:val="22"/>
          <w:szCs w:val="22"/>
          <w:lang w:val="fr-FR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  <w:szCs w:val="22"/>
          <w:lang w:val="fr-FR"/>
        </w:rPr>
        <w:t>superieur de type long</w:t>
      </w:r>
    </w:p>
    <w:p>
      <w:pPr>
        <w:spacing w:after="120"/>
        <w:ind w:right="828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  <w:r>
        <w:rPr>
          <w:b/>
          <w:szCs w:val="22"/>
        </w:rPr>
        <w:t>DOMAINE : SCIENCES DE L’INGENIEUR ET TECHNOLOGIE</w:t>
      </w: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szCs w:val="22"/>
                <w:lang w:val="fr-FR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20 07 10 U41 D2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szCs w:val="22"/>
                <w:lang w:val="fr-FR"/>
              </w:rPr>
              <w:t>CODE DU DOMAINE DE FORMATION : 206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Approbation du Gouvernement de la Communauté française du 29 juillet 2019,</w:t>
      </w:r>
      <w:bookmarkStart w:id="0" w:name="_GoBack"/>
      <w:bookmarkEnd w:id="0"/>
    </w:p>
    <w:p>
      <w:pPr>
        <w:spacing w:after="120"/>
        <w:contextualSpacing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spacing w:after="120"/>
        <w:contextualSpacing/>
        <w:jc w:val="center"/>
        <w:rPr>
          <w:szCs w:val="22"/>
        </w:rPr>
      </w:pPr>
    </w:p>
    <w:p>
      <w:pPr>
        <w:spacing w:after="120"/>
        <w:contextualSpacing/>
        <w:jc w:val="both"/>
        <w:rPr>
          <w:szCs w:val="22"/>
        </w:rPr>
      </w:pPr>
      <w:r>
        <w:rPr>
          <w:szCs w:val="22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spacing w:after="120"/>
              <w:contextualSpacing/>
              <w:jc w:val="center"/>
              <w:rPr>
                <w:b/>
                <w:szCs w:val="22"/>
              </w:rPr>
            </w:pPr>
          </w:p>
          <w:p>
            <w:pPr>
              <w:spacing w:after="120"/>
              <w:contextualSpacing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chimie organique et technologie des materiaux nouveaux</w:t>
            </w:r>
          </w:p>
          <w:p>
            <w:pPr>
              <w:spacing w:after="120"/>
              <w:contextualSpacing/>
              <w:jc w:val="center"/>
              <w:rPr>
                <w:b/>
                <w:szCs w:val="22"/>
              </w:rPr>
            </w:pPr>
          </w:p>
          <w:p>
            <w:pPr>
              <w:pStyle w:val="Titre7"/>
              <w:spacing w:after="12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de type long</w:t>
            </w:r>
          </w:p>
          <w:p>
            <w:pPr>
              <w:spacing w:after="120"/>
              <w:contextualSpacing/>
              <w:jc w:val="both"/>
              <w:rPr>
                <w:b/>
                <w:szCs w:val="22"/>
              </w:rPr>
            </w:pPr>
          </w:p>
        </w:tc>
      </w:tr>
    </w:tbl>
    <w:p>
      <w:pPr>
        <w:spacing w:after="120"/>
        <w:jc w:val="both"/>
        <w:rPr>
          <w:b/>
          <w:szCs w:val="22"/>
        </w:rPr>
      </w:pPr>
    </w:p>
    <w:p>
      <w:pPr>
        <w:tabs>
          <w:tab w:val="left" w:pos="0"/>
          <w:tab w:val="right" w:pos="2926"/>
        </w:tabs>
        <w:spacing w:after="120"/>
        <w:jc w:val="both"/>
        <w:rPr>
          <w:b/>
          <w:caps/>
          <w:szCs w:val="22"/>
        </w:rPr>
      </w:pPr>
      <w:r>
        <w:rPr>
          <w:b/>
          <w:szCs w:val="22"/>
        </w:rPr>
        <w:t>1. FINALITES DE L’UNITE D’ENSEIGNEMENT</w:t>
      </w:r>
    </w:p>
    <w:p>
      <w:pPr>
        <w:spacing w:after="120"/>
        <w:ind w:left="284"/>
        <w:jc w:val="both"/>
        <w:rPr>
          <w:szCs w:val="22"/>
        </w:rPr>
      </w:pPr>
      <w:r>
        <w:rPr>
          <w:b/>
          <w:szCs w:val="22"/>
        </w:rPr>
        <w:t>1.1. Finalités générales</w:t>
      </w:r>
      <w:r>
        <w:rPr>
          <w:szCs w:val="22"/>
        </w:rPr>
        <w:t xml:space="preserve"> </w:t>
      </w:r>
    </w:p>
    <w:p>
      <w:pPr>
        <w:spacing w:after="120"/>
        <w:ind w:left="709"/>
        <w:jc w:val="both"/>
        <w:rPr>
          <w:szCs w:val="22"/>
        </w:rPr>
      </w:pPr>
      <w:r>
        <w:rPr>
          <w:szCs w:val="22"/>
        </w:rPr>
        <w:t>Dans le respect de l'article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1"/>
        </w:numPr>
        <w:tabs>
          <w:tab w:val="left" w:pos="993"/>
        </w:tabs>
        <w:spacing w:after="120"/>
        <w:ind w:left="1134" w:hanging="425"/>
        <w:jc w:val="both"/>
        <w:rPr>
          <w:szCs w:val="22"/>
        </w:rPr>
      </w:pPr>
      <w:r>
        <w:rPr>
          <w:szCs w:val="22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1"/>
        </w:numPr>
        <w:tabs>
          <w:tab w:val="left" w:pos="993"/>
        </w:tabs>
        <w:spacing w:after="120"/>
        <w:ind w:left="1134" w:hanging="425"/>
        <w:jc w:val="both"/>
        <w:rPr>
          <w:szCs w:val="22"/>
        </w:rPr>
      </w:pPr>
      <w:r>
        <w:rPr>
          <w:szCs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spacing w:after="120"/>
        <w:ind w:left="284"/>
        <w:jc w:val="both"/>
        <w:rPr>
          <w:b/>
          <w:szCs w:val="22"/>
        </w:rPr>
      </w:pPr>
      <w:r>
        <w:rPr>
          <w:b/>
          <w:szCs w:val="22"/>
        </w:rPr>
        <w:t>1.2. Finalités particulières</w:t>
      </w:r>
    </w:p>
    <w:p>
      <w:pPr>
        <w:spacing w:after="120"/>
        <w:ind w:left="709"/>
        <w:jc w:val="both"/>
        <w:rPr>
          <w:szCs w:val="22"/>
        </w:rPr>
      </w:pPr>
      <w:r>
        <w:rPr>
          <w:szCs w:val="22"/>
        </w:rPr>
        <w:t>L’unité d’enseignement vise à permettre à l’étudiant :</w:t>
      </w:r>
    </w:p>
    <w:p>
      <w:pPr>
        <w:numPr>
          <w:ilvl w:val="0"/>
          <w:numId w:val="1"/>
        </w:numPr>
        <w:tabs>
          <w:tab w:val="left" w:pos="993"/>
        </w:tabs>
        <w:spacing w:after="120"/>
        <w:ind w:left="1134" w:hanging="425"/>
        <w:jc w:val="both"/>
        <w:rPr>
          <w:szCs w:val="22"/>
        </w:rPr>
      </w:pPr>
      <w:r>
        <w:rPr>
          <w:szCs w:val="22"/>
        </w:rPr>
        <w:t>de décrire les principales techniques d’identification et d’analyse structurale des composés organiques ;</w:t>
      </w:r>
    </w:p>
    <w:p>
      <w:pPr>
        <w:numPr>
          <w:ilvl w:val="0"/>
          <w:numId w:val="1"/>
        </w:numPr>
        <w:tabs>
          <w:tab w:val="left" w:pos="993"/>
        </w:tabs>
        <w:spacing w:after="120"/>
        <w:ind w:left="1134" w:hanging="425"/>
        <w:jc w:val="both"/>
        <w:rPr>
          <w:szCs w:val="22"/>
        </w:rPr>
      </w:pPr>
      <w:r>
        <w:rPr>
          <w:szCs w:val="22"/>
        </w:rPr>
        <w:t>de donner un aperçu des mécanismes de polymérisation des procédés industriels de production ;</w:t>
      </w:r>
    </w:p>
    <w:p>
      <w:pPr>
        <w:numPr>
          <w:ilvl w:val="0"/>
          <w:numId w:val="1"/>
        </w:numPr>
        <w:tabs>
          <w:tab w:val="left" w:pos="993"/>
        </w:tabs>
        <w:spacing w:after="120"/>
        <w:ind w:left="1134" w:hanging="425"/>
        <w:jc w:val="both"/>
        <w:rPr>
          <w:szCs w:val="22"/>
        </w:rPr>
      </w:pPr>
      <w:r>
        <w:rPr>
          <w:szCs w:val="22"/>
        </w:rPr>
        <w:t>d’analyser les caractéristiques des macromolécules synthétisées ;</w:t>
      </w:r>
    </w:p>
    <w:p>
      <w:pPr>
        <w:numPr>
          <w:ilvl w:val="0"/>
          <w:numId w:val="1"/>
        </w:numPr>
        <w:tabs>
          <w:tab w:val="left" w:pos="993"/>
        </w:tabs>
        <w:spacing w:after="120"/>
        <w:ind w:left="1134" w:hanging="425"/>
        <w:jc w:val="both"/>
        <w:rPr>
          <w:szCs w:val="22"/>
        </w:rPr>
      </w:pPr>
      <w:r>
        <w:rPr>
          <w:szCs w:val="22"/>
        </w:rPr>
        <w:t>d’expliquer les réactions et propriétés des composés aromatiques ;</w:t>
      </w:r>
    </w:p>
    <w:p>
      <w:pPr>
        <w:numPr>
          <w:ilvl w:val="0"/>
          <w:numId w:val="1"/>
        </w:numPr>
        <w:tabs>
          <w:tab w:val="left" w:pos="993"/>
        </w:tabs>
        <w:spacing w:after="120"/>
        <w:ind w:left="1134" w:hanging="425"/>
        <w:jc w:val="both"/>
        <w:rPr>
          <w:szCs w:val="22"/>
        </w:rPr>
      </w:pPr>
      <w:r>
        <w:rPr>
          <w:szCs w:val="22"/>
        </w:rPr>
        <w:t>de s’adapter aux évolutions technologiques du domaine.</w:t>
      </w:r>
    </w:p>
    <w:p>
      <w:pPr>
        <w:spacing w:after="120"/>
        <w:ind w:left="360"/>
        <w:jc w:val="both"/>
        <w:rPr>
          <w:szCs w:val="22"/>
          <w:highlight w:val="yellow"/>
        </w:rPr>
      </w:pPr>
    </w:p>
    <w:p>
      <w:pPr>
        <w:tabs>
          <w:tab w:val="left" w:pos="0"/>
          <w:tab w:val="right" w:pos="2926"/>
        </w:tabs>
        <w:spacing w:after="120"/>
        <w:jc w:val="both"/>
        <w:rPr>
          <w:b/>
          <w:szCs w:val="22"/>
          <w:lang w:val="fr-FR"/>
        </w:rPr>
      </w:pPr>
      <w:r>
        <w:rPr>
          <w:b/>
          <w:szCs w:val="22"/>
          <w:lang w:val="fr-FR"/>
        </w:rPr>
        <w:t>2. CAPACITES PREALABLES REQUISES</w:t>
      </w:r>
    </w:p>
    <w:p>
      <w:pPr>
        <w:spacing w:after="120"/>
        <w:ind w:left="284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2.1. Capacités</w:t>
      </w:r>
    </w:p>
    <w:p>
      <w:pPr>
        <w:spacing w:after="120"/>
        <w:ind w:left="851"/>
        <w:jc w:val="both"/>
        <w:rPr>
          <w:szCs w:val="22"/>
        </w:rPr>
      </w:pPr>
      <w:proofErr w:type="gramStart"/>
      <w:r>
        <w:rPr>
          <w:szCs w:val="22"/>
        </w:rPr>
        <w:t>à</w:t>
      </w:r>
      <w:proofErr w:type="gramEnd"/>
      <w:r>
        <w:rPr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mathématiques,</w:t>
      </w:r>
    </w:p>
    <w:p>
      <w:pPr>
        <w:numPr>
          <w:ilvl w:val="0"/>
          <w:numId w:val="14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analyser les données ;</w:t>
      </w:r>
    </w:p>
    <w:p>
      <w:pPr>
        <w:numPr>
          <w:ilvl w:val="0"/>
          <w:numId w:val="14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établir une modélisation ;</w:t>
      </w:r>
    </w:p>
    <w:p>
      <w:pPr>
        <w:numPr>
          <w:ilvl w:val="0"/>
          <w:numId w:val="14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physique,</w:t>
      </w:r>
    </w:p>
    <w:p>
      <w:pPr>
        <w:numPr>
          <w:ilvl w:val="0"/>
          <w:numId w:val="14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déceler différents phénomènes physiques et de les classer ;</w:t>
      </w:r>
    </w:p>
    <w:p>
      <w:pPr>
        <w:numPr>
          <w:ilvl w:val="0"/>
          <w:numId w:val="14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14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chimie,</w:t>
      </w:r>
    </w:p>
    <w:p>
      <w:pPr>
        <w:numPr>
          <w:ilvl w:val="0"/>
          <w:numId w:val="14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pacing w:val="-3"/>
          <w:szCs w:val="22"/>
        </w:rPr>
      </w:pPr>
      <w:r>
        <w:rPr>
          <w:szCs w:val="22"/>
        </w:rPr>
        <w:t>distinguer les phénomènes chimiques des phénomènes physiques et de les classer au sein de chaque type ;</w:t>
      </w:r>
    </w:p>
    <w:p>
      <w:pPr>
        <w:numPr>
          <w:ilvl w:val="0"/>
          <w:numId w:val="14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b/>
          <w:szCs w:val="22"/>
        </w:rPr>
      </w:pPr>
      <w:r>
        <w:rPr>
          <w:szCs w:val="22"/>
        </w:rPr>
        <w:lastRenderedPageBreak/>
        <w:t>confronter différents modèles aux données fournies et/ ou observées afin de sélectionner le plus adéquat.</w:t>
      </w:r>
    </w:p>
    <w:p>
      <w:pPr>
        <w:spacing w:after="120"/>
        <w:ind w:left="284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2.2. Titres pouvant en tenir lieu </w:t>
      </w:r>
    </w:p>
    <w:p>
      <w:pPr>
        <w:pStyle w:val="1"/>
        <w:spacing w:after="120"/>
        <w:ind w:left="709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pStyle w:val="1"/>
        <w:spacing w:after="120"/>
        <w:ind w:left="709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numPr>
          <w:ilvl w:val="12"/>
          <w:numId w:val="0"/>
        </w:numPr>
        <w:tabs>
          <w:tab w:val="left" w:pos="709"/>
        </w:tabs>
        <w:suppressAutoHyphens/>
        <w:spacing w:after="120"/>
        <w:ind w:left="709"/>
        <w:jc w:val="both"/>
        <w:rPr>
          <w:spacing w:val="-3"/>
          <w:szCs w:val="22"/>
          <w:lang w:val="fr-FR"/>
        </w:rPr>
      </w:pPr>
    </w:p>
    <w:p>
      <w:pPr>
        <w:numPr>
          <w:ilvl w:val="12"/>
          <w:numId w:val="0"/>
        </w:numPr>
        <w:spacing w:after="120"/>
        <w:jc w:val="both"/>
        <w:rPr>
          <w:b/>
          <w:szCs w:val="22"/>
        </w:rPr>
      </w:pPr>
      <w:r>
        <w:rPr>
          <w:b/>
          <w:caps/>
          <w:szCs w:val="22"/>
        </w:rPr>
        <w:t>3.</w:t>
      </w:r>
      <w:r>
        <w:rPr>
          <w:b/>
          <w:szCs w:val="22"/>
        </w:rPr>
        <w:t xml:space="preserve"> ACQUIS D’APPRENTISSAGE</w:t>
      </w:r>
    </w:p>
    <w:p>
      <w:pPr>
        <w:numPr>
          <w:ilvl w:val="12"/>
          <w:numId w:val="0"/>
        </w:numPr>
        <w:spacing w:after="120"/>
        <w:ind w:left="284"/>
        <w:jc w:val="both"/>
        <w:rPr>
          <w:b/>
          <w:szCs w:val="22"/>
        </w:rPr>
      </w:pPr>
      <w:r>
        <w:rPr>
          <w:b/>
          <w:szCs w:val="22"/>
        </w:rPr>
        <w:t xml:space="preserve">Pour atteindre le seuil de réussite,  l’étudiant sera capable, 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à</w:t>
      </w:r>
      <w:proofErr w:type="gramEnd"/>
      <w:r>
        <w:rPr>
          <w:i/>
          <w:szCs w:val="22"/>
        </w:rPr>
        <w:t xml:space="preserve"> partir d’une application technique,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respectant les consignes fournies par le chargé de cours,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stratégies de recherche et d'exploitations documentaires en langue française et étrangère,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13"/>
        </w:numPr>
        <w:tabs>
          <w:tab w:val="left" w:pos="720"/>
        </w:tabs>
        <w:spacing w:after="120"/>
        <w:ind w:left="709" w:hanging="425"/>
        <w:jc w:val="both"/>
        <w:rPr>
          <w:szCs w:val="22"/>
        </w:rPr>
      </w:pPr>
      <w:r>
        <w:rPr>
          <w:szCs w:val="22"/>
        </w:rPr>
        <w:t>d'expliciter et de comparer divers mécanismes réactionnels de chimie organique ;</w:t>
      </w:r>
    </w:p>
    <w:p>
      <w:pPr>
        <w:numPr>
          <w:ilvl w:val="0"/>
          <w:numId w:val="13"/>
        </w:numPr>
        <w:tabs>
          <w:tab w:val="left" w:pos="709"/>
        </w:tabs>
        <w:spacing w:after="120"/>
        <w:ind w:left="709" w:hanging="425"/>
        <w:jc w:val="both"/>
        <w:rPr>
          <w:szCs w:val="22"/>
        </w:rPr>
      </w:pPr>
      <w:r>
        <w:rPr>
          <w:szCs w:val="22"/>
        </w:rPr>
        <w:t>d’en proposer des synthèses, d’en formuler le ou les mécanismes réactionnels, de les comparer, de justifier les positions réactionnelles ;</w:t>
      </w:r>
    </w:p>
    <w:p>
      <w:pPr>
        <w:numPr>
          <w:ilvl w:val="0"/>
          <w:numId w:val="13"/>
        </w:numPr>
        <w:tabs>
          <w:tab w:val="left" w:pos="709"/>
        </w:tabs>
        <w:spacing w:after="120"/>
        <w:ind w:left="709" w:hanging="425"/>
        <w:jc w:val="both"/>
        <w:rPr>
          <w:szCs w:val="22"/>
        </w:rPr>
      </w:pPr>
      <w:r>
        <w:rPr>
          <w:szCs w:val="22"/>
        </w:rPr>
        <w:t>d’expliciter les paramètres physico-chimiques et leurs propriétés ainsi que les procédés de mise en œuvre éventuels ;</w:t>
      </w:r>
    </w:p>
    <w:p>
      <w:pPr>
        <w:numPr>
          <w:ilvl w:val="0"/>
          <w:numId w:val="13"/>
        </w:numPr>
        <w:tabs>
          <w:tab w:val="left" w:pos="709"/>
        </w:tabs>
        <w:spacing w:after="120"/>
        <w:ind w:left="709" w:hanging="425"/>
        <w:jc w:val="both"/>
        <w:rPr>
          <w:szCs w:val="22"/>
        </w:rPr>
      </w:pPr>
      <w:r>
        <w:rPr>
          <w:szCs w:val="22"/>
        </w:rPr>
        <w:t>de rechercher quelques applications pratiques de ces substances ;</w:t>
      </w:r>
    </w:p>
    <w:p>
      <w:pPr>
        <w:numPr>
          <w:ilvl w:val="0"/>
          <w:numId w:val="13"/>
        </w:numPr>
        <w:tabs>
          <w:tab w:val="left" w:pos="709"/>
        </w:tabs>
        <w:spacing w:after="120"/>
        <w:ind w:left="709" w:hanging="425"/>
        <w:jc w:val="both"/>
        <w:rPr>
          <w:szCs w:val="22"/>
        </w:rPr>
      </w:pPr>
      <w:r>
        <w:rPr>
          <w:szCs w:val="22"/>
        </w:rPr>
        <w:t>d’expliciter les techniques d’identification structurale les plus appropriées de ce(s) composant(s) ;</w:t>
      </w:r>
    </w:p>
    <w:p>
      <w:pPr>
        <w:numPr>
          <w:ilvl w:val="0"/>
          <w:numId w:val="13"/>
        </w:numPr>
        <w:tabs>
          <w:tab w:val="left" w:pos="709"/>
        </w:tabs>
        <w:spacing w:after="120"/>
        <w:ind w:left="709" w:hanging="425"/>
        <w:jc w:val="both"/>
        <w:rPr>
          <w:b/>
          <w:szCs w:val="22"/>
        </w:rPr>
      </w:pPr>
      <w:r>
        <w:rPr>
          <w:szCs w:val="22"/>
        </w:rPr>
        <w:t>d’en évaluer le rendement ;</w:t>
      </w:r>
    </w:p>
    <w:p>
      <w:pPr>
        <w:numPr>
          <w:ilvl w:val="0"/>
          <w:numId w:val="13"/>
        </w:numPr>
        <w:tabs>
          <w:tab w:val="left" w:pos="720"/>
        </w:tabs>
        <w:spacing w:after="120"/>
        <w:ind w:left="709" w:hanging="425"/>
        <w:jc w:val="both"/>
        <w:rPr>
          <w:szCs w:val="22"/>
        </w:rPr>
      </w:pPr>
      <w:r>
        <w:rPr>
          <w:szCs w:val="22"/>
        </w:rPr>
        <w:t>d’en réaliser expérimentalement la synthèse.</w:t>
      </w:r>
    </w:p>
    <w:p>
      <w:pPr>
        <w:spacing w:after="120"/>
        <w:ind w:firstLine="284"/>
        <w:jc w:val="both"/>
        <w:rPr>
          <w:b/>
          <w:szCs w:val="22"/>
        </w:rPr>
      </w:pPr>
      <w:r>
        <w:rPr>
          <w:b/>
          <w:szCs w:val="22"/>
        </w:rPr>
        <w:t>Pour déterminer le degré de maîtrise, il sera tenu compte des critères suivants :</w:t>
      </w:r>
    </w:p>
    <w:p>
      <w:pPr>
        <w:numPr>
          <w:ilvl w:val="0"/>
          <w:numId w:val="13"/>
        </w:numPr>
        <w:tabs>
          <w:tab w:val="left" w:pos="567"/>
        </w:tabs>
        <w:spacing w:after="120"/>
        <w:ind w:left="567" w:hanging="283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13"/>
        </w:numPr>
        <w:tabs>
          <w:tab w:val="left" w:pos="567"/>
        </w:tabs>
        <w:spacing w:after="120"/>
        <w:ind w:left="567" w:hanging="283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13"/>
        </w:numPr>
        <w:tabs>
          <w:tab w:val="left" w:pos="567"/>
        </w:tabs>
        <w:spacing w:after="120"/>
        <w:ind w:left="567" w:hanging="283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13"/>
        </w:numPr>
        <w:tabs>
          <w:tab w:val="left" w:pos="567"/>
        </w:tabs>
        <w:spacing w:after="120"/>
        <w:ind w:left="567" w:hanging="283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rPr>
          <w:b/>
          <w:szCs w:val="22"/>
        </w:rPr>
      </w:pPr>
      <w:r>
        <w:rPr>
          <w:b/>
          <w:szCs w:val="22"/>
        </w:rPr>
        <w:br w:type="page"/>
      </w:r>
    </w:p>
    <w:p>
      <w:pPr>
        <w:numPr>
          <w:ilvl w:val="12"/>
          <w:numId w:val="0"/>
        </w:numPr>
        <w:spacing w:after="120"/>
        <w:jc w:val="both"/>
        <w:rPr>
          <w:b/>
          <w:caps/>
          <w:szCs w:val="22"/>
        </w:rPr>
      </w:pPr>
      <w:r>
        <w:rPr>
          <w:b/>
          <w:caps/>
          <w:szCs w:val="22"/>
        </w:rPr>
        <w:lastRenderedPageBreak/>
        <w:t>4. Programme</w:t>
      </w:r>
    </w:p>
    <w:p>
      <w:pPr>
        <w:numPr>
          <w:ilvl w:val="12"/>
          <w:numId w:val="0"/>
        </w:numPr>
        <w:tabs>
          <w:tab w:val="left" w:pos="284"/>
          <w:tab w:val="left" w:pos="4536"/>
        </w:tabs>
        <w:spacing w:after="120"/>
        <w:ind w:left="284"/>
        <w:jc w:val="both"/>
        <w:rPr>
          <w:szCs w:val="22"/>
        </w:rPr>
      </w:pPr>
      <w:r>
        <w:rPr>
          <w:szCs w:val="22"/>
        </w:rPr>
        <w:t>L’étudiant sera capable,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à</w:t>
      </w:r>
      <w:proofErr w:type="gramEnd"/>
      <w:r>
        <w:rPr>
          <w:i/>
          <w:szCs w:val="22"/>
        </w:rPr>
        <w:t xml:space="preserve"> partir d’applications techniques,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respectant les consignes fournies par le chargé de cours,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documentaires, en vue de développer des stratégies de recherche en langue française et étrangère,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exploitant les résultats de la recherche,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compétences de communication écrite et orale en langue française et, le cas échéant, en langue anglaise,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 w:hanging="425"/>
        <w:jc w:val="both"/>
        <w:rPr>
          <w:b/>
          <w:szCs w:val="22"/>
        </w:rPr>
      </w:pPr>
      <w:r>
        <w:rPr>
          <w:b/>
          <w:szCs w:val="22"/>
        </w:rPr>
        <w:t>4.1. Méthodes physiques d’identification en chimie organique</w:t>
      </w:r>
    </w:p>
    <w:p>
      <w:pPr>
        <w:numPr>
          <w:ilvl w:val="0"/>
          <w:numId w:val="13"/>
        </w:numPr>
        <w:tabs>
          <w:tab w:val="left" w:pos="680"/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d’expliquer les méthodes d’identification structurales :</w:t>
      </w:r>
    </w:p>
    <w:p>
      <w:pPr>
        <w:tabs>
          <w:tab w:val="left" w:pos="680"/>
          <w:tab w:val="left" w:pos="720"/>
        </w:tabs>
        <w:spacing w:after="120"/>
        <w:ind w:left="1416"/>
        <w:jc w:val="both"/>
        <w:rPr>
          <w:szCs w:val="22"/>
        </w:rPr>
      </w:pPr>
      <w:r>
        <w:rPr>
          <w:szCs w:val="22"/>
        </w:rPr>
        <w:t>- infrarouge,</w:t>
      </w:r>
    </w:p>
    <w:p>
      <w:pPr>
        <w:tabs>
          <w:tab w:val="left" w:pos="680"/>
          <w:tab w:val="left" w:pos="720"/>
        </w:tabs>
        <w:spacing w:after="120"/>
        <w:ind w:left="1416"/>
        <w:jc w:val="both"/>
        <w:rPr>
          <w:szCs w:val="22"/>
        </w:rPr>
      </w:pPr>
      <w:r>
        <w:rPr>
          <w:szCs w:val="22"/>
        </w:rPr>
        <w:t>- spectrométrie de masse,</w:t>
      </w:r>
    </w:p>
    <w:p>
      <w:pPr>
        <w:tabs>
          <w:tab w:val="left" w:pos="680"/>
          <w:tab w:val="left" w:pos="720"/>
        </w:tabs>
        <w:spacing w:after="120"/>
        <w:ind w:left="1416"/>
        <w:jc w:val="both"/>
        <w:rPr>
          <w:szCs w:val="22"/>
        </w:rPr>
      </w:pPr>
      <w:r>
        <w:rPr>
          <w:szCs w:val="22"/>
        </w:rPr>
        <w:t>- résonnance magnétique nucléaire.</w:t>
      </w:r>
    </w:p>
    <w:p>
      <w:pPr>
        <w:numPr>
          <w:ilvl w:val="0"/>
          <w:numId w:val="13"/>
        </w:numPr>
        <w:tabs>
          <w:tab w:val="left" w:pos="720"/>
          <w:tab w:val="left" w:pos="1076"/>
          <w:tab w:val="left" w:pos="1701"/>
          <w:tab w:val="left" w:pos="4536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 xml:space="preserve">d’illustrer, de dépouiller et d’analyser des spectres caractéristiques ; </w:t>
      </w:r>
    </w:p>
    <w:p>
      <w:pPr>
        <w:numPr>
          <w:ilvl w:val="0"/>
          <w:numId w:val="13"/>
        </w:numPr>
        <w:tabs>
          <w:tab w:val="left" w:pos="720"/>
          <w:tab w:val="left" w:pos="1076"/>
          <w:tab w:val="left" w:pos="1701"/>
          <w:tab w:val="left" w:pos="4536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de décrire l’influence de facteurs expérimentaux lors de la prise de ces spectres ;</w:t>
      </w:r>
    </w:p>
    <w:p>
      <w:pPr>
        <w:numPr>
          <w:ilvl w:val="0"/>
          <w:numId w:val="13"/>
        </w:numPr>
        <w:tabs>
          <w:tab w:val="left" w:pos="720"/>
          <w:tab w:val="left" w:pos="1076"/>
          <w:tab w:val="left" w:pos="1701"/>
          <w:tab w:val="left" w:pos="4536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d’identifier des structures inconnues par l’étude de leurs différents spectres.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 w:hanging="425"/>
        <w:jc w:val="both"/>
        <w:rPr>
          <w:b/>
          <w:caps/>
          <w:szCs w:val="22"/>
        </w:rPr>
      </w:pPr>
      <w:r>
        <w:rPr>
          <w:b/>
          <w:szCs w:val="22"/>
        </w:rPr>
        <w:t xml:space="preserve">4.2. Aromaticité et </w:t>
      </w:r>
      <w:proofErr w:type="spellStart"/>
      <w:r>
        <w:rPr>
          <w:b/>
          <w:szCs w:val="22"/>
        </w:rPr>
        <w:t>hétéroaromaticité</w:t>
      </w:r>
      <w:proofErr w:type="spellEnd"/>
    </w:p>
    <w:p>
      <w:pPr>
        <w:numPr>
          <w:ilvl w:val="0"/>
          <w:numId w:val="11"/>
        </w:numPr>
        <w:tabs>
          <w:tab w:val="left" w:pos="709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d'expliquer les mécanismes des réactions organiques ;</w:t>
      </w:r>
    </w:p>
    <w:p>
      <w:pPr>
        <w:numPr>
          <w:ilvl w:val="0"/>
          <w:numId w:val="11"/>
        </w:numPr>
        <w:tabs>
          <w:tab w:val="left" w:pos="709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de reconnaître le mécanisme mis en jeu lors d’une réaction ;</w:t>
      </w:r>
    </w:p>
    <w:p>
      <w:pPr>
        <w:numPr>
          <w:ilvl w:val="0"/>
          <w:numId w:val="11"/>
        </w:numPr>
        <w:tabs>
          <w:tab w:val="left" w:pos="709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de définir les bases de l’aromaticité et de l’</w:t>
      </w:r>
      <w:proofErr w:type="spellStart"/>
      <w:r>
        <w:rPr>
          <w:szCs w:val="22"/>
        </w:rPr>
        <w:t>hétéroaromaticité</w:t>
      </w:r>
      <w:proofErr w:type="spellEnd"/>
      <w:r>
        <w:rPr>
          <w:szCs w:val="22"/>
        </w:rPr>
        <w:t>, de reconnaître et de nommer les composés aromatiques et hétéro aromatiques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d’expliquer les réactions chimiques sur ces substances ainsi que les mécanismes réactionnels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de formuler les principales réactions de synthèse de ces produits et d’en rechercher les principales applications.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 w:hanging="425"/>
        <w:jc w:val="both"/>
        <w:rPr>
          <w:b/>
          <w:caps/>
          <w:szCs w:val="22"/>
        </w:rPr>
      </w:pPr>
      <w:r>
        <w:rPr>
          <w:b/>
          <w:szCs w:val="22"/>
        </w:rPr>
        <w:t>4.3. Technologie des polymères et des matériaux nouveaux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de décrire les principaux monomères et leurs propriétés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de définir et de classer les principaux composites à matrice organique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d'expliquer les constituants du matériau composite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d'exposer et de comparer les principaux procédés de mise en œuvre du matériau composite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d'établir les relations structure - propriétés du matériau composite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de rechercher les principales applications de ces matériaux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de préciser des techniques de réduction des déchets et de recyclage.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 w:hanging="425"/>
        <w:jc w:val="both"/>
        <w:rPr>
          <w:b/>
          <w:caps/>
          <w:szCs w:val="22"/>
        </w:rPr>
      </w:pPr>
      <w:r>
        <w:rPr>
          <w:b/>
          <w:szCs w:val="22"/>
        </w:rPr>
        <w:t>4.4. Laboratoire d'investigation structurale</w:t>
      </w:r>
    </w:p>
    <w:p>
      <w:pPr>
        <w:numPr>
          <w:ilvl w:val="12"/>
          <w:numId w:val="0"/>
        </w:numPr>
        <w:spacing w:after="120"/>
        <w:ind w:left="709"/>
        <w:jc w:val="both"/>
        <w:rPr>
          <w:i/>
          <w:szCs w:val="22"/>
          <w:lang w:eastAsia="ar-SA"/>
        </w:rPr>
      </w:pPr>
      <w:proofErr w:type="gramStart"/>
      <w:r>
        <w:rPr>
          <w:i/>
          <w:szCs w:val="22"/>
          <w:lang w:eastAsia="ar-SA"/>
        </w:rPr>
        <w:t>en</w:t>
      </w:r>
      <w:proofErr w:type="gramEnd"/>
      <w:r>
        <w:rPr>
          <w:i/>
          <w:szCs w:val="22"/>
          <w:lang w:eastAsia="ar-SA"/>
        </w:rPr>
        <w:t xml:space="preserve"> disposant des équipements nécessaires,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de réaliser la synthèse de substances organiques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lastRenderedPageBreak/>
        <w:t>de réaliser et de dépouiller leurs spectres ;</w:t>
      </w:r>
    </w:p>
    <w:p>
      <w:pPr>
        <w:pStyle w:val="Style1"/>
        <w:numPr>
          <w:ilvl w:val="0"/>
          <w:numId w:val="13"/>
        </w:numPr>
        <w:tabs>
          <w:tab w:val="left" w:pos="720"/>
        </w:tabs>
        <w:spacing w:after="120"/>
        <w:ind w:left="1040"/>
        <w:jc w:val="both"/>
        <w:rPr>
          <w:szCs w:val="22"/>
        </w:rPr>
      </w:pPr>
      <w:r>
        <w:rPr>
          <w:szCs w:val="22"/>
        </w:rPr>
        <w:t>d'analyser l'influence des conditions expérimentales sur ces spectres.</w:t>
      </w:r>
    </w:p>
    <w:p>
      <w:pPr>
        <w:rPr>
          <w:szCs w:val="22"/>
        </w:rPr>
      </w:pP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b/>
          <w:caps/>
          <w:szCs w:val="22"/>
        </w:rPr>
      </w:pPr>
      <w:r>
        <w:rPr>
          <w:b/>
          <w:szCs w:val="22"/>
        </w:rPr>
        <w:t xml:space="preserve">5. </w:t>
      </w:r>
      <w:r>
        <w:rPr>
          <w:b/>
          <w:caps/>
          <w:szCs w:val="22"/>
        </w:rPr>
        <w:t>Constitution des groupes ou regroupement</w:t>
      </w:r>
    </w:p>
    <w:p>
      <w:pPr>
        <w:spacing w:after="120"/>
        <w:ind w:left="284"/>
        <w:jc w:val="both"/>
        <w:rPr>
          <w:szCs w:val="22"/>
        </w:rPr>
      </w:pPr>
      <w:r>
        <w:rPr>
          <w:szCs w:val="22"/>
        </w:rPr>
        <w:t>Pour l’activité d’enseignement « Laboratoire d’investigation structurale », il est recommandé de ne pas dépasser deux étudiants par poste de travail.</w:t>
      </w:r>
    </w:p>
    <w:p>
      <w:pPr>
        <w:spacing w:after="120"/>
        <w:jc w:val="both"/>
        <w:rPr>
          <w:szCs w:val="22"/>
        </w:rPr>
      </w:pPr>
    </w:p>
    <w:p>
      <w:pPr>
        <w:numPr>
          <w:ilvl w:val="12"/>
          <w:numId w:val="0"/>
        </w:numPr>
        <w:spacing w:after="120"/>
        <w:jc w:val="both"/>
        <w:rPr>
          <w:b/>
          <w:szCs w:val="22"/>
        </w:rPr>
      </w:pPr>
      <w:r>
        <w:rPr>
          <w:b/>
          <w:caps/>
          <w:szCs w:val="22"/>
        </w:rPr>
        <w:t xml:space="preserve">6. </w:t>
      </w:r>
      <w:r>
        <w:rPr>
          <w:b/>
          <w:szCs w:val="22"/>
        </w:rPr>
        <w:t>CHARGE DE COURS</w:t>
      </w:r>
    </w:p>
    <w:p>
      <w:pPr>
        <w:spacing w:after="120"/>
        <w:ind w:left="709" w:hanging="425"/>
        <w:jc w:val="both"/>
        <w:rPr>
          <w:szCs w:val="22"/>
          <w:lang w:val="fr-FR"/>
        </w:rPr>
      </w:pPr>
      <w:r>
        <w:rPr>
          <w:szCs w:val="22"/>
          <w:lang w:val="fr-FR"/>
        </w:rPr>
        <w:t>Le chargé de cours sera un enseignant ou un expert.</w:t>
      </w:r>
    </w:p>
    <w:p>
      <w:pPr>
        <w:spacing w:after="120"/>
        <w:ind w:left="284"/>
        <w:jc w:val="both"/>
        <w:rPr>
          <w:szCs w:val="22"/>
          <w:lang w:val="fr-FR"/>
        </w:rPr>
      </w:pPr>
      <w:r>
        <w:rPr>
          <w:szCs w:val="22"/>
          <w:lang w:val="fr-FR"/>
        </w:rPr>
        <w:t>L’expert devra justifier de compétences particulières issues d’une expérience professionnelle actualisée en relation avec le programme du présent dossier.</w:t>
      </w:r>
    </w:p>
    <w:p>
      <w:pPr>
        <w:numPr>
          <w:ilvl w:val="12"/>
          <w:numId w:val="0"/>
        </w:numPr>
        <w:spacing w:after="120"/>
        <w:jc w:val="both"/>
        <w:rPr>
          <w:b/>
          <w:szCs w:val="22"/>
        </w:rPr>
      </w:pPr>
    </w:p>
    <w:p>
      <w:pPr>
        <w:numPr>
          <w:ilvl w:val="12"/>
          <w:numId w:val="0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7. HORAIRE MINIMUM DE L'UNITE D’ENSEIGNEMENT</w:t>
      </w:r>
    </w:p>
    <w:p>
      <w:pPr>
        <w:numPr>
          <w:ilvl w:val="12"/>
          <w:numId w:val="0"/>
        </w:numPr>
        <w:spacing w:after="120"/>
        <w:contextualSpacing/>
        <w:rPr>
          <w:sz w:val="2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418"/>
        <w:gridCol w:w="1134"/>
        <w:gridCol w:w="1417"/>
      </w:tblGrid>
      <w:tr>
        <w:trPr>
          <w:cantSplit/>
        </w:trPr>
        <w:tc>
          <w:tcPr>
            <w:tcW w:w="57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Cs w:val="22"/>
              </w:rPr>
            </w:pPr>
            <w:r>
              <w:rPr>
                <w:b/>
                <w:szCs w:val="22"/>
              </w:rPr>
              <w:t>7.1. Dénomination des cours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szCs w:val="22"/>
                <w:u w:val="single"/>
              </w:rPr>
              <w:t xml:space="preserve">Classement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szCs w:val="22"/>
                <w:u w:val="single"/>
              </w:rPr>
              <w:t>Code 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5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Méthodes physiques d’identification en chimie organique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5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 xml:space="preserve">Aromaticité et </w:t>
            </w:r>
            <w:proofErr w:type="spellStart"/>
            <w:r>
              <w:rPr>
                <w:szCs w:val="22"/>
              </w:rPr>
              <w:t>hétéroaromaticité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>
        <w:trPr>
          <w:cantSplit/>
        </w:trPr>
        <w:tc>
          <w:tcPr>
            <w:tcW w:w="5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Technologie des polymères et des matériaux nouveaux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5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Laboratoire d’investigation structurale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28</w:t>
            </w:r>
          </w:p>
        </w:tc>
      </w:tr>
      <w:tr>
        <w:trPr>
          <w:cantSplit/>
        </w:trPr>
        <w:tc>
          <w:tcPr>
            <w:tcW w:w="715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b/>
                <w:szCs w:val="22"/>
              </w:rPr>
              <w:t>7.2. Part d'autonomie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829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Cs w:val="22"/>
              </w:rPr>
            </w:pPr>
            <w:r>
              <w:rPr>
                <w:b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fldChar w:fldCharType="begin"/>
            </w:r>
            <w:r>
              <w:rPr>
                <w:b/>
                <w:szCs w:val="22"/>
              </w:rPr>
              <w:instrText xml:space="preserve"> =SUM(AUDESSUS) </w:instrText>
            </w:r>
            <w:r>
              <w:rPr>
                <w:b/>
                <w:szCs w:val="22"/>
              </w:rPr>
              <w:fldChar w:fldCharType="separate"/>
            </w:r>
            <w:r>
              <w:rPr>
                <w:b/>
                <w:noProof/>
                <w:szCs w:val="22"/>
              </w:rPr>
              <w:t>120</w:t>
            </w:r>
            <w:r>
              <w:rPr>
                <w:b/>
                <w:szCs w:val="22"/>
              </w:rPr>
              <w:fldChar w:fldCharType="end"/>
            </w:r>
          </w:p>
        </w:tc>
      </w:tr>
    </w:tbl>
    <w:p>
      <w:pPr>
        <w:pStyle w:val="En-tte"/>
        <w:tabs>
          <w:tab w:val="clear" w:pos="4536"/>
          <w:tab w:val="clear" w:pos="9072"/>
        </w:tabs>
        <w:rPr>
          <w:b/>
          <w:szCs w:val="22"/>
        </w:rPr>
      </w:pPr>
    </w:p>
    <w:sectPr>
      <w:footerReference w:type="default" r:id="rId7"/>
      <w:type w:val="continuous"/>
      <w:pgSz w:w="11907" w:h="16840"/>
      <w:pgMar w:top="1412" w:right="1134" w:bottom="1412" w:left="141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Harrington"/>
    <w:panose1 w:val="04000500000000000000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20"/>
      </w:rPr>
    </w:pPr>
    <w:r>
      <w:rPr>
        <w:color w:val="002060"/>
        <w:sz w:val="20"/>
      </w:rPr>
      <w:t>Chimie organique et technologie des matériaux nouveaux</w:t>
    </w:r>
    <w:r>
      <w:rPr>
        <w:color w:val="002060"/>
        <w:sz w:val="20"/>
      </w:rPr>
      <w:tab/>
    </w:r>
    <w:r>
      <w:rPr>
        <w:color w:val="002060"/>
        <w:sz w:val="20"/>
        <w:lang w:val="fr-FR"/>
      </w:rPr>
      <w:t xml:space="preserve">Page </w:t>
    </w:r>
    <w:r>
      <w:rPr>
        <w:bCs/>
        <w:color w:val="002060"/>
        <w:sz w:val="20"/>
      </w:rPr>
      <w:fldChar w:fldCharType="begin"/>
    </w:r>
    <w:r>
      <w:rPr>
        <w:bCs/>
        <w:color w:val="002060"/>
        <w:sz w:val="20"/>
      </w:rPr>
      <w:instrText>PAGE  \* Arabic  \* MERGEFORMAT</w:instrText>
    </w:r>
    <w:r>
      <w:rPr>
        <w:bCs/>
        <w:color w:val="002060"/>
        <w:sz w:val="20"/>
      </w:rPr>
      <w:fldChar w:fldCharType="separate"/>
    </w:r>
    <w:r>
      <w:rPr>
        <w:bCs/>
        <w:noProof/>
        <w:color w:val="002060"/>
        <w:sz w:val="20"/>
        <w:lang w:val="fr-FR"/>
      </w:rPr>
      <w:t>5</w:t>
    </w:r>
    <w:r>
      <w:rPr>
        <w:bCs/>
        <w:color w:val="002060"/>
        <w:sz w:val="20"/>
      </w:rPr>
      <w:fldChar w:fldCharType="end"/>
    </w:r>
    <w:r>
      <w:rPr>
        <w:color w:val="002060"/>
        <w:sz w:val="20"/>
        <w:lang w:val="fr-FR"/>
      </w:rPr>
      <w:t xml:space="preserve"> sur </w:t>
    </w:r>
    <w:r>
      <w:rPr>
        <w:bCs/>
        <w:color w:val="002060"/>
        <w:sz w:val="20"/>
      </w:rPr>
      <w:fldChar w:fldCharType="begin"/>
    </w:r>
    <w:r>
      <w:rPr>
        <w:bCs/>
        <w:color w:val="002060"/>
        <w:sz w:val="20"/>
      </w:rPr>
      <w:instrText>NUMPAGES  \* Arabic  \* MERGEFORMAT</w:instrText>
    </w:r>
    <w:r>
      <w:rPr>
        <w:bCs/>
        <w:color w:val="002060"/>
        <w:sz w:val="20"/>
      </w:rPr>
      <w:fldChar w:fldCharType="separate"/>
    </w:r>
    <w:r>
      <w:rPr>
        <w:bCs/>
        <w:noProof/>
        <w:color w:val="002060"/>
        <w:sz w:val="20"/>
        <w:lang w:val="fr-FR"/>
      </w:rPr>
      <w:t>5</w:t>
    </w:r>
    <w:r>
      <w:rPr>
        <w:bCs/>
        <w:color w:val="00206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8E154B"/>
    <w:multiLevelType w:val="hybridMultilevel"/>
    <w:tmpl w:val="0B6CAD18"/>
    <w:lvl w:ilvl="0" w:tplc="F146B7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1257F0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1A974AC3"/>
    <w:multiLevelType w:val="singleLevel"/>
    <w:tmpl w:val="46AC9A9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503575"/>
    <w:multiLevelType w:val="singleLevel"/>
    <w:tmpl w:val="46AC9A9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69D1C55"/>
    <w:multiLevelType w:val="singleLevel"/>
    <w:tmpl w:val="C3B0D3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6" w15:restartNumberingAfterBreak="0">
    <w:nsid w:val="2D6A7CAA"/>
    <w:multiLevelType w:val="singleLevel"/>
    <w:tmpl w:val="EFC623DE"/>
    <w:lvl w:ilvl="0">
      <w:start w:val="1"/>
      <w:numFmt w:val="bullet"/>
      <w:lvlText w:val="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sz w:val="22"/>
      </w:rPr>
    </w:lvl>
  </w:abstractNum>
  <w:abstractNum w:abstractNumId="7" w15:restartNumberingAfterBreak="0">
    <w:nsid w:val="3B685554"/>
    <w:multiLevelType w:val="singleLevel"/>
    <w:tmpl w:val="916412F4"/>
    <w:lvl w:ilvl="0">
      <w:start w:val="1"/>
      <w:numFmt w:val="decimal"/>
      <w:lvlText w:val="2.%1. "/>
      <w:legacy w:legacy="1" w:legacySpace="0" w:legacyIndent="360"/>
      <w:lvlJc w:val="left"/>
      <w:pPr>
        <w:ind w:left="630" w:hanging="360"/>
      </w:pPr>
      <w:rPr>
        <w:b/>
        <w:i w:val="0"/>
        <w:sz w:val="22"/>
      </w:rPr>
    </w:lvl>
  </w:abstractNum>
  <w:abstractNum w:abstractNumId="8" w15:restartNumberingAfterBreak="0">
    <w:nsid w:val="42685026"/>
    <w:multiLevelType w:val="singleLevel"/>
    <w:tmpl w:val="F3A83802"/>
    <w:lvl w:ilvl="0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  <w:sz w:val="22"/>
      </w:rPr>
    </w:lvl>
  </w:abstractNum>
  <w:abstractNum w:abstractNumId="9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680"/>
        <w:lvlJc w:val="left"/>
        <w:pPr>
          <w:ind w:left="1040" w:hanging="680"/>
        </w:pPr>
        <w:rPr>
          <w:rFonts w:ascii="Symbol" w:hAnsi="Symbol" w:hint="default"/>
          <w:sz w:val="22"/>
        </w:rPr>
      </w:lvl>
    </w:lvlOverride>
  </w:num>
  <w:num w:numId="3">
    <w:abstractNumId w:val="7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680"/>
        <w:lvlJc w:val="left"/>
        <w:pPr>
          <w:ind w:left="850" w:hanging="680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6"/>
  </w:num>
  <w:num w:numId="9">
    <w:abstractNumId w:val="3"/>
  </w:num>
  <w:num w:numId="10">
    <w:abstractNumId w:val="5"/>
  </w:num>
  <w:num w:numId="1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2">
    <w:abstractNumId w:val="2"/>
  </w:num>
  <w:num w:numId="13">
    <w:abstractNumId w:val="8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5C870F-FE0E-4AB5-A3BE-1DEA9034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ind w:left="360" w:hanging="360"/>
      <w:outlineLvl w:val="0"/>
    </w:pPr>
    <w:rPr>
      <w:i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outlineLvl w:val="1"/>
    </w:pPr>
    <w:rPr>
      <w:u w:val="single"/>
      <w:lang w:val="fr-FR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caps/>
      <w:lang w:val="fr-FR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ind w:left="360" w:hanging="360"/>
      <w:outlineLvl w:val="5"/>
    </w:pPr>
    <w:rPr>
      <w:b/>
      <w:i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cap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tyle1">
    <w:name w:val="Style1"/>
    <w:basedOn w:val="Normal"/>
    <w:pPr>
      <w:tabs>
        <w:tab w:val="left" w:pos="680"/>
      </w:tabs>
      <w:ind w:left="680" w:hanging="510"/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pPr>
      <w:jc w:val="center"/>
    </w:pPr>
    <w:rPr>
      <w:b/>
      <w:caps/>
      <w:sz w:val="32"/>
    </w:rPr>
  </w:style>
  <w:style w:type="paragraph" w:customStyle="1" w:styleId="1">
    <w:name w:val="1"/>
    <w:basedOn w:val="Liste"/>
    <w:rPr>
      <w:b/>
      <w:sz w:val="24"/>
      <w:lang w:val="fr-FR"/>
    </w:rPr>
  </w:style>
  <w:style w:type="paragraph" w:styleId="Liste">
    <w:name w:val="List"/>
    <w:basedOn w:val="Normal"/>
    <w:pPr>
      <w:ind w:left="283" w:hanging="283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  <w:rPr>
      <w:sz w:val="24"/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rPr>
      <w:sz w:val="24"/>
      <w:lang w:val="fr-FR" w:eastAsia="fr-FR"/>
    </w:rPr>
  </w:style>
  <w:style w:type="paragraph" w:customStyle="1" w:styleId="2">
    <w:name w:val="2"/>
    <w:basedOn w:val="Normal"/>
    <w:pPr>
      <w:ind w:left="709"/>
    </w:pPr>
    <w:rPr>
      <w:rFonts w:ascii="Courier New" w:hAnsi="Courier New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2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1208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</vt:lpstr>
    </vt:vector>
  </TitlesOfParts>
  <Company>I.S.I.P.H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I.S.I.P.H</dc:creator>
  <cp:lastModifiedBy>goulet02</cp:lastModifiedBy>
  <cp:revision>13</cp:revision>
  <cp:lastPrinted>2017-12-06T15:43:00Z</cp:lastPrinted>
  <dcterms:created xsi:type="dcterms:W3CDTF">2018-06-07T15:18:00Z</dcterms:created>
  <dcterms:modified xsi:type="dcterms:W3CDTF">2019-10-18T08:03:00Z</dcterms:modified>
</cp:coreProperties>
</file>