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</w:rPr>
      </w:pPr>
    </w:p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</w:rPr>
      </w:pPr>
      <w:r>
        <w:rPr>
          <w:b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3"/>
      </w:pPr>
      <w:r>
        <w:t>chimie industrielle : BUREAU D’ETUDES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LONG</w:t>
      </w:r>
    </w:p>
    <w:p>
      <w:pPr>
        <w:ind w:right="828"/>
        <w:jc w:val="center"/>
      </w:pPr>
    </w:p>
    <w:p>
      <w:pPr>
        <w:jc w:val="center"/>
      </w:pPr>
      <w:r>
        <w:rPr>
          <w:b/>
          <w:sz w:val="22"/>
          <w:szCs w:val="22"/>
        </w:rPr>
        <w:t>DOMAINE : SCIENCES DE L’INGENIEUR ET TECHNOLOGIE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 03 03 U41 D2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29 juillet 2019,</w:t>
      </w:r>
      <w:bookmarkStart w:id="0" w:name="_GoBack"/>
      <w:bookmarkEnd w:id="0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de la Commission de concertation</w:t>
      </w:r>
    </w:p>
    <w:p>
      <w:pPr>
        <w:jc w:val="center"/>
      </w:pPr>
    </w:p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Chimie industrielle : BUREAU D’ETUDES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</w:pPr>
            <w:r>
              <w:t>ENSEIGNEMENT superieur de type LONG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jc w:val="both"/>
        <w:rPr>
          <w:sz w:val="22"/>
        </w:rPr>
      </w:pPr>
    </w:p>
    <w:p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</w:rPr>
        <w:t xml:space="preserve">1. </w:t>
      </w:r>
      <w:r>
        <w:rPr>
          <w:b/>
          <w:caps/>
          <w:sz w:val="22"/>
          <w:szCs w:val="22"/>
        </w:rPr>
        <w:t>Finalités de l’unité d’ENSEIGNEMENT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>
      <w:pPr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l’enseignement de promotion sociale, cette unité d’enseignement doit :</w:t>
      </w:r>
    </w:p>
    <w:p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7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L’unité d’enseignement vise à permettre à l’étudiant : </w:t>
      </w:r>
    </w:p>
    <w:p>
      <w:pPr>
        <w:pStyle w:val="Paragraphedeliste"/>
        <w:numPr>
          <w:ilvl w:val="0"/>
          <w:numId w:val="8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d’analyser la conception d’une unité de production industrielle en fonction d’un objectif final imposé ; </w:t>
      </w:r>
    </w:p>
    <w:p>
      <w:pPr>
        <w:pStyle w:val="Paragraphedeliste"/>
        <w:numPr>
          <w:ilvl w:val="0"/>
          <w:numId w:val="8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d’intégrer dans son analyse les problèmes techniques et économiques ; </w:t>
      </w:r>
    </w:p>
    <w:p>
      <w:pPr>
        <w:pStyle w:val="Paragraphedeliste"/>
        <w:numPr>
          <w:ilvl w:val="0"/>
          <w:numId w:val="8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de décomposer ce problème en étapes logiques ;</w:t>
      </w:r>
    </w:p>
    <w:p>
      <w:pPr>
        <w:pStyle w:val="Paragraphedeliste"/>
        <w:numPr>
          <w:ilvl w:val="0"/>
          <w:numId w:val="8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de s’adapter aux évolutions technologiques du domaine ;</w:t>
      </w:r>
    </w:p>
    <w:p>
      <w:pPr>
        <w:pStyle w:val="Paragraphedeliste"/>
        <w:numPr>
          <w:ilvl w:val="0"/>
          <w:numId w:val="8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contextualSpacing w:val="0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de développer des compétences de travail collaboratif.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CAPACITES PREALABLES REQUISES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2.1. Capacités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En chimie physique,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technique,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>
      <w:pPr>
        <w:numPr>
          <w:ilvl w:val="12"/>
          <w:numId w:val="0"/>
        </w:numPr>
        <w:tabs>
          <w:tab w:val="left" w:pos="993"/>
          <w:tab w:val="left" w:pos="1701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5"/>
        </w:numPr>
        <w:tabs>
          <w:tab w:val="clear" w:pos="360"/>
          <w:tab w:val="left" w:pos="1134"/>
        </w:tabs>
        <w:spacing w:after="12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déterminer les conditions théoriques optimales de fonctionnement d'un système physico-chimique ;</w:t>
      </w:r>
    </w:p>
    <w:p>
      <w:pPr>
        <w:numPr>
          <w:ilvl w:val="0"/>
          <w:numId w:val="5"/>
        </w:numPr>
        <w:tabs>
          <w:tab w:val="clear" w:pos="360"/>
          <w:tab w:val="num" w:pos="644"/>
          <w:tab w:val="left" w:pos="709"/>
          <w:tab w:val="left" w:pos="1191"/>
        </w:tabs>
        <w:spacing w:after="120"/>
        <w:ind w:left="709" w:firstLine="0"/>
        <w:jc w:val="both"/>
        <w:rPr>
          <w:sz w:val="22"/>
          <w:szCs w:val="22"/>
        </w:rPr>
      </w:pPr>
      <w:r>
        <w:rPr>
          <w:sz w:val="22"/>
          <w:szCs w:val="22"/>
        </w:rPr>
        <w:t>observer, décrire et modéliser le fonctionnement d’une unité chimique ;</w:t>
      </w:r>
    </w:p>
    <w:p>
      <w:pPr>
        <w:numPr>
          <w:ilvl w:val="0"/>
          <w:numId w:val="5"/>
        </w:numPr>
        <w:tabs>
          <w:tab w:val="clear" w:pos="360"/>
          <w:tab w:val="num" w:pos="644"/>
          <w:tab w:val="left" w:pos="709"/>
          <w:tab w:val="left" w:pos="1191"/>
        </w:tabs>
        <w:spacing w:after="120"/>
        <w:ind w:left="709" w:firstLine="0"/>
        <w:jc w:val="both"/>
        <w:rPr>
          <w:sz w:val="22"/>
          <w:szCs w:val="22"/>
        </w:rPr>
      </w:pPr>
      <w:r>
        <w:rPr>
          <w:sz w:val="22"/>
          <w:szCs w:val="22"/>
        </w:rPr>
        <w:t>déterminer les conditions optimales des techniques de production.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2.2. Titre pouvant en tenir lieu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Attestation de réussite de l’unité d’enseignement </w:t>
      </w:r>
      <w:r>
        <w:rPr>
          <w:sz w:val="22"/>
          <w:szCs w:val="22"/>
        </w:rPr>
        <w:t>« Chimie physique »</w:t>
      </w:r>
      <w:r>
        <w:rPr>
          <w:b w:val="0"/>
          <w:sz w:val="22"/>
          <w:szCs w:val="22"/>
        </w:rPr>
        <w:t xml:space="preserve">, code n° </w:t>
      </w:r>
      <w:r>
        <w:rPr>
          <w:sz w:val="22"/>
          <w:szCs w:val="22"/>
          <w:lang w:val="nl-NL"/>
        </w:rPr>
        <w:t>200201U41D2</w:t>
      </w:r>
      <w:r>
        <w:rPr>
          <w:b w:val="0"/>
          <w:sz w:val="22"/>
          <w:szCs w:val="22"/>
        </w:rPr>
        <w:t>, classée dans l’enseignement supérieur de type long.</w:t>
      </w:r>
    </w:p>
    <w:p>
      <w:pPr>
        <w:rPr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 ACQUIS D’APPRENTISSAGE</w:t>
      </w:r>
    </w:p>
    <w:p>
      <w:pPr>
        <w:tabs>
          <w:tab w:val="left" w:pos="450"/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atteindre le seuil de réussite, l’étudiant sera capable, 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complexe en chimie industrielle ainsi que d’un cahier des charges proposé par l’étudiant et avalisé par le chargé de cours,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  <w:lang w:eastAsia="ar-SA"/>
        </w:rPr>
      </w:pPr>
      <w:proofErr w:type="gramStart"/>
      <w:r>
        <w:rPr>
          <w:i/>
          <w:sz w:val="22"/>
          <w:szCs w:val="22"/>
          <w:lang w:eastAsia="ar-SA"/>
        </w:rPr>
        <w:t>en</w:t>
      </w:r>
      <w:proofErr w:type="gramEnd"/>
      <w:r>
        <w:rPr>
          <w:i/>
          <w:sz w:val="22"/>
          <w:szCs w:val="22"/>
          <w:lang w:eastAsia="ar-SA"/>
        </w:rPr>
        <w:t xml:space="preserve"> exploitant les résultats de la recherche,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 et de communication écrite et orale en langue française et le cas échéant en langue anglaise,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d’autonomie, de responsabilité et de créativité,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d’indiquer la procédure à suivre pour réaliser la conception d’une unité de production choisie parmi les fabrications classiques de la chimie minérale ou organique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définir à chaque étape les problèmes posés et la façon pratique de les résoudre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rédiger, de présenter et de défendre oralement, dans le respect des délais impartis, le cahier des charges ainsi que le dossier technique, relatifs à l’application en chimie industrielle à analyser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d’établir un devis estimatif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justifier :</w:t>
      </w:r>
    </w:p>
    <w:p>
      <w:pPr>
        <w:numPr>
          <w:ilvl w:val="0"/>
          <w:numId w:val="1"/>
        </w:numPr>
        <w:tabs>
          <w:tab w:val="left" w:pos="851"/>
        </w:tabs>
        <w:suppressAutoHyphens/>
        <w:spacing w:after="1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la démarche suivie et l’organisation des différentes étapes ;</w:t>
      </w:r>
    </w:p>
    <w:p>
      <w:pPr>
        <w:numPr>
          <w:ilvl w:val="0"/>
          <w:numId w:val="1"/>
        </w:numPr>
        <w:tabs>
          <w:tab w:val="left" w:pos="851"/>
        </w:tabs>
        <w:suppressAutoHyphens/>
        <w:spacing w:after="1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le dimensionnement et le choix de l’équipement.</w:t>
      </w:r>
    </w:p>
    <w:p>
      <w:pPr>
        <w:tabs>
          <w:tab w:val="left" w:pos="450"/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déterminer le degré de maîtrise, il sera tenu compte des critères suivants :</w:t>
      </w:r>
    </w:p>
    <w:p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changeant,</w:t>
      </w:r>
    </w:p>
    <w:p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color w:val="000000"/>
          <w:sz w:val="22"/>
          <w:szCs w:val="22"/>
        </w:rPr>
      </w:pPr>
      <w:r>
        <w:rPr>
          <w:spacing w:val="-3"/>
          <w:sz w:val="22"/>
          <w:szCs w:val="22"/>
          <w:lang w:val="fr-BE"/>
        </w:rPr>
        <w:t>niveau de précision des calculs effectués.</w:t>
      </w:r>
    </w:p>
    <w:p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 PROGRAMME</w:t>
      </w:r>
    </w:p>
    <w:p>
      <w:pPr>
        <w:numPr>
          <w:ilvl w:val="12"/>
          <w:numId w:val="0"/>
        </w:numPr>
        <w:spacing w:after="120"/>
        <w:ind w:left="142" w:firstLine="142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d’applications techniques complexes,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exploitant les résultats de la recherche,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lastRenderedPageBreak/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 et de communication écrite et orale en langue française et le cas échéant en langue anglaise,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d’autonomie, de responsabilité et de créativité,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 Chimie industrielle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de déterminer les données techniques manquantes à partir de corrélations semi-empiriques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d’élaborer un flow-</w:t>
      </w:r>
      <w:proofErr w:type="spellStart"/>
      <w:r>
        <w:rPr>
          <w:sz w:val="22"/>
          <w:szCs w:val="22"/>
        </w:rPr>
        <w:t>sheet</w:t>
      </w:r>
      <w:proofErr w:type="spellEnd"/>
      <w:r>
        <w:rPr>
          <w:sz w:val="22"/>
          <w:szCs w:val="22"/>
        </w:rPr>
        <w:t xml:space="preserve"> qualitatif et quantitatif de l’unité de production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de définir les principales opérations unitaires et les types de réacteurs à mettre en œuvre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d’appliquer les méthodes de la thermodynamique chimique et de la cinétique chimique pour calculer les conditions de travail des diverses opérations unitaires et des divers réacteurs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de calculer en pratique des équilibres chimiques et physiques complexes aussi bien dans le cas de solutions idéales que de solutions réelles, ainsi que des effets thermiques de réaction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de sélectionner de manière rationnelle les types d’appareillages à utiliser ainsi que la nature des matériaux à mettre en œuvre ;</w:t>
      </w:r>
    </w:p>
    <w:p>
      <w:pPr>
        <w:numPr>
          <w:ilvl w:val="0"/>
          <w:numId w:val="1"/>
        </w:numPr>
        <w:tabs>
          <w:tab w:val="left" w:pos="680"/>
        </w:tabs>
        <w:spacing w:after="120"/>
        <w:ind w:left="1040"/>
        <w:jc w:val="both"/>
        <w:rPr>
          <w:sz w:val="22"/>
          <w:szCs w:val="22"/>
        </w:rPr>
      </w:pPr>
      <w:r>
        <w:rPr>
          <w:sz w:val="22"/>
          <w:szCs w:val="22"/>
        </w:rPr>
        <w:t>d’identifier, de manière quantitative, les problèmes de sécurité, de récupération d’énergie ainsi que les techniques de maîtrise de la pollution.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trike/>
          <w:sz w:val="22"/>
          <w:szCs w:val="22"/>
        </w:rPr>
      </w:pPr>
      <w:r>
        <w:rPr>
          <w:b/>
          <w:sz w:val="22"/>
          <w:szCs w:val="22"/>
        </w:rPr>
        <w:t>4.2. Laboratoire : gestion de projet et bureau d’études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en chimie industrielle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au</w:t>
      </w:r>
      <w:proofErr w:type="gramEnd"/>
      <w:r>
        <w:rPr>
          <w:i/>
          <w:spacing w:val="-3"/>
          <w:sz w:val="22"/>
          <w:szCs w:val="22"/>
        </w:rPr>
        <w:t xml:space="preserve"> départ d’un projet de conception d’une application complexe en chimie industrielle, ou en chimie minérale ou organique faisant référence au monde professionnel,</w:t>
      </w:r>
      <w:r>
        <w:rPr>
          <w:i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  <w:lang w:eastAsia="ar-SA"/>
        </w:rPr>
      </w:pPr>
      <w:proofErr w:type="gramStart"/>
      <w:r>
        <w:rPr>
          <w:i/>
          <w:sz w:val="22"/>
          <w:szCs w:val="22"/>
          <w:lang w:eastAsia="ar-SA"/>
        </w:rPr>
        <w:t>en</w:t>
      </w:r>
      <w:proofErr w:type="gramEnd"/>
      <w:r>
        <w:rPr>
          <w:i/>
          <w:sz w:val="22"/>
          <w:szCs w:val="22"/>
          <w:lang w:eastAsia="ar-SA"/>
        </w:rPr>
        <w:t xml:space="preserve"> disposant des équipements nécessaires,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134"/>
        </w:tabs>
        <w:suppressAutoHyphens/>
        <w:spacing w:after="120"/>
        <w:ind w:left="1134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pour la partie gestion de projet :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décomposer le projet en ses différentes étapes, depuis la phase initiale de définition du besoin jusqu’à la phase de finalisation du dossier « plans » complet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la planification du projet à l’aide de l’outil informatique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d’assurer la gestion d’équipe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134"/>
        </w:tabs>
        <w:suppressAutoHyphens/>
        <w:spacing w:after="120"/>
        <w:ind w:left="1134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pour la partie bureau d’études :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d’élaborer le cahier des charges et le dossier technique relatif à l’application chimique choisie ; 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i/>
          <w:sz w:val="22"/>
          <w:szCs w:val="22"/>
        </w:rPr>
      </w:pPr>
      <w:r>
        <w:rPr>
          <w:sz w:val="22"/>
          <w:szCs w:val="22"/>
        </w:rPr>
        <w:t>d’apporter une solution aux problèmes posés dans le cahier des charges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déterminer et de justifier ses choix technologiques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choisir les matériaux ainsi que les traitements adéquats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d’optimaliser la conception en fonction des différents paramètres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sélectionner le matériel approprié dans les catalogues techniques et d’argumenter ses choix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la nomenclature du matériel utilisé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rédiger les spécifications techniques pour la réalisation, les essais et la mise en service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d’établir les éléments d’un devis estimatif du projet ;</w:t>
      </w:r>
    </w:p>
    <w:p>
      <w:pPr>
        <w:numPr>
          <w:ilvl w:val="0"/>
          <w:numId w:val="10"/>
        </w:numPr>
        <w:tabs>
          <w:tab w:val="clear" w:pos="397"/>
          <w:tab w:val="left" w:pos="-720"/>
          <w:tab w:val="num" w:pos="1503"/>
        </w:tabs>
        <w:suppressAutoHyphens/>
        <w:spacing w:after="120"/>
        <w:ind w:left="1503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d’élaborer un dossier technique explicitant les solutions proposées et la faisabilité du projet.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</w:t>
      </w:r>
      <w:r>
        <w:rPr>
          <w:b/>
          <w:caps/>
          <w:sz w:val="22"/>
          <w:szCs w:val="22"/>
        </w:rPr>
        <w:t>Constitution des groupes ou regroupement</w:t>
      </w:r>
    </w:p>
    <w:p>
      <w:pPr>
        <w:pStyle w:val="Corpsdetexte"/>
        <w:tabs>
          <w:tab w:val="clear" w:pos="0"/>
          <w:tab w:val="left" w:pos="284"/>
        </w:tabs>
        <w:spacing w:after="120"/>
        <w:ind w:left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Pour l’activité d’enseignement de « Laboratoire : gestion de projet et bureau d’études en chimie industrielle », il est recommandé de ne pas dépasser deux étudiants par poste de travail.</w:t>
      </w:r>
    </w:p>
    <w:p>
      <w:pPr>
        <w:pStyle w:val="Corpsdetexte"/>
        <w:tabs>
          <w:tab w:val="clear" w:pos="0"/>
          <w:tab w:val="left" w:pos="284"/>
        </w:tabs>
        <w:spacing w:after="120"/>
        <w:ind w:left="284"/>
        <w:rPr>
          <w:rFonts w:ascii="Times New Roman" w:hAnsi="Times New Roman"/>
          <w:szCs w:val="22"/>
        </w:rPr>
      </w:pPr>
    </w:p>
    <w:p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6. </w:t>
      </w:r>
      <w:r>
        <w:rPr>
          <w:b/>
          <w:sz w:val="22"/>
          <w:szCs w:val="22"/>
        </w:rPr>
        <w:t>CHARGE DE COURS</w:t>
      </w:r>
    </w:p>
    <w:p>
      <w:pPr>
        <w:pStyle w:val="Corpsdetexte"/>
        <w:tabs>
          <w:tab w:val="clear" w:pos="0"/>
          <w:tab w:val="left" w:pos="284"/>
        </w:tabs>
        <w:spacing w:after="120"/>
        <w:ind w:left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chargé de cours sera un enseignant ou un expert.</w:t>
      </w:r>
    </w:p>
    <w:p>
      <w:pPr>
        <w:pStyle w:val="Corpsdetexte"/>
        <w:tabs>
          <w:tab w:val="clear" w:pos="0"/>
          <w:tab w:val="left" w:pos="284"/>
        </w:tabs>
        <w:spacing w:after="120"/>
        <w:ind w:left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pStyle w:val="Corpsdetexte"/>
        <w:tabs>
          <w:tab w:val="clear" w:pos="0"/>
          <w:tab w:val="left" w:pos="284"/>
        </w:tabs>
        <w:spacing w:after="120"/>
        <w:ind w:left="284"/>
        <w:rPr>
          <w:rFonts w:ascii="Times New Roman" w:hAnsi="Times New Roman"/>
          <w:szCs w:val="22"/>
        </w:rPr>
      </w:pP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 HORAIRE MINIMUM DE L’UNITE D’ENSEIGNEMENT</w:t>
      </w:r>
    </w:p>
    <w:tbl>
      <w:tblPr>
        <w:tblW w:w="98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946"/>
        <w:gridCol w:w="1221"/>
        <w:gridCol w:w="1530"/>
      </w:tblGrid>
      <w:tr>
        <w:trPr>
          <w:cantSplit/>
          <w:trHeight w:val="661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Chimie industrielle</w:t>
            </w:r>
          </w:p>
        </w:tc>
        <w:tc>
          <w:tcPr>
            <w:tcW w:w="1946" w:type="dxa"/>
            <w:tcBorders>
              <w:top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</w:t>
            </w:r>
          </w:p>
        </w:tc>
      </w:tr>
      <w:tr>
        <w:trPr>
          <w:cantSplit/>
        </w:trPr>
        <w:tc>
          <w:tcPr>
            <w:tcW w:w="5103" w:type="dxa"/>
            <w:tcBorders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 : gestion de projet et bureau d’études en chimie industrielle</w:t>
            </w:r>
          </w:p>
        </w:tc>
        <w:tc>
          <w:tcPr>
            <w:tcW w:w="1946" w:type="dxa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>
        <w:trPr>
          <w:cantSplit/>
        </w:trPr>
        <w:tc>
          <w:tcPr>
            <w:tcW w:w="5103" w:type="dxa"/>
            <w:tcBorders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946" w:type="dxa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5103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946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</w:p>
        </w:tc>
      </w:tr>
    </w:tbl>
    <w:p>
      <w:pPr>
        <w:pStyle w:val="Corpsdetexte"/>
        <w:tabs>
          <w:tab w:val="clear" w:pos="0"/>
          <w:tab w:val="left" w:pos="284"/>
        </w:tabs>
        <w:ind w:left="284"/>
        <w:rPr>
          <w:b/>
          <w:noProof w:val="0"/>
          <w:sz w:val="24"/>
        </w:rPr>
      </w:pPr>
    </w:p>
    <w:sectPr>
      <w:footerReference w:type="default" r:id="rId8"/>
      <w:footerReference w:type="first" r:id="rId9"/>
      <w:pgSz w:w="11907" w:h="16840" w:code="9"/>
      <w:pgMar w:top="1138" w:right="1138" w:bottom="1138" w:left="1138" w:header="1138" w:footer="1138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20"/>
      </w:rPr>
    </w:pPr>
    <w:r>
      <w:rPr>
        <w:color w:val="002060"/>
        <w:sz w:val="20"/>
      </w:rPr>
      <w:t>Chimie industrielle : bureau d’études</w:t>
    </w:r>
    <w:r>
      <w:rPr>
        <w:color w:val="002060"/>
        <w:sz w:val="20"/>
      </w:rPr>
      <w:tab/>
    </w:r>
    <w:r>
      <w:rPr>
        <w:color w:val="002060"/>
        <w:sz w:val="20"/>
      </w:rPr>
      <w:tab/>
    </w:r>
    <w:sdt>
      <w:sdtPr>
        <w:rPr>
          <w:color w:val="002060"/>
          <w:sz w:val="20"/>
        </w:rPr>
        <w:id w:val="-1302922987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20"/>
              </w:rPr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2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5</w:t>
            </w:r>
            <w:r>
              <w:rPr>
                <w:bCs/>
                <w:color w:val="002060"/>
                <w:sz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BD30F1"/>
    <w:multiLevelType w:val="hybridMultilevel"/>
    <w:tmpl w:val="BD5AA334"/>
    <w:lvl w:ilvl="0" w:tplc="F3A83802">
      <w:start w:val="1"/>
      <w:numFmt w:val="bullet"/>
      <w:lvlText w:val=""/>
      <w:lvlJc w:val="left"/>
      <w:pPr>
        <w:ind w:left="3737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05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77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497" w:hanging="360"/>
      </w:pPr>
      <w:rPr>
        <w:rFonts w:ascii="Wingdings" w:hAnsi="Wingdings" w:hint="default"/>
      </w:rPr>
    </w:lvl>
  </w:abstractNum>
  <w:abstractNum w:abstractNumId="2" w15:restartNumberingAfterBreak="0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C2B5912"/>
    <w:multiLevelType w:val="singleLevel"/>
    <w:tmpl w:val="E8767CB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F5058D"/>
    <w:multiLevelType w:val="hybridMultilevel"/>
    <w:tmpl w:val="6FB03646"/>
    <w:lvl w:ilvl="0" w:tplc="6B54F45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D8B5B28"/>
    <w:multiLevelType w:val="singleLevel"/>
    <w:tmpl w:val="8E7A682E"/>
    <w:lvl w:ilvl="0">
      <w:start w:val="2"/>
      <w:numFmt w:val="decimal"/>
      <w:lvlText w:val="4.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6" w15:restartNumberingAfterBreak="0">
    <w:nsid w:val="338534A2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 w15:restartNumberingAfterBreak="0">
    <w:nsid w:val="6E212CAD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8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C164A-7BCC-4FAA-9718-5C5550C5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caps/>
      <w:sz w:val="3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0"/>
    </w:rPr>
  </w:style>
  <w:style w:type="paragraph" w:styleId="Titre5">
    <w:name w:val="heading 5"/>
    <w:basedOn w:val="Normal"/>
    <w:next w:val="Normal"/>
    <w:qFormat/>
    <w:pPr>
      <w:keepNext/>
      <w:tabs>
        <w:tab w:val="left" w:pos="-720"/>
      </w:tabs>
      <w:suppressAutoHyphens/>
      <w:outlineLvl w:val="4"/>
    </w:pPr>
    <w:rPr>
      <w:i/>
      <w:spacing w:val="-3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customStyle="1" w:styleId="Corpsdetexte21">
    <w:name w:val="Corps de texte 21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</w:pPr>
    <w:rPr>
      <w:sz w:val="22"/>
    </w:rPr>
  </w:style>
  <w:style w:type="paragraph" w:styleId="Liste">
    <w:name w:val="List"/>
    <w:basedOn w:val="Normal"/>
    <w:pPr>
      <w:ind w:left="283" w:hanging="283"/>
    </w:pPr>
  </w:style>
  <w:style w:type="paragraph" w:customStyle="1" w:styleId="1">
    <w:name w:val="1"/>
    <w:basedOn w:val="Liste"/>
    <w:rPr>
      <w:b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styleId="Textedebulles">
    <w:name w:val="Balloon Text"/>
    <w:basedOn w:val="Normal"/>
    <w:link w:val="TextedebullesCar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Tahoma" w:hAnsi="Tahoma" w:cs="Tahoma"/>
      <w:sz w:val="16"/>
      <w:szCs w:val="16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F43B-97EB-47A2-8784-3C74A04A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1328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D8BISANA</vt:lpstr>
    </vt:vector>
  </TitlesOfParts>
  <Company>BEIR SA</Company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D8BISANA</dc:title>
  <dc:subject>DOC. 8 BIS 1.2.</dc:subject>
  <dc:creator>ROMAN Jean-Jacques</dc:creator>
  <cp:lastModifiedBy>goulet02</cp:lastModifiedBy>
  <cp:revision>25</cp:revision>
  <cp:lastPrinted>2018-01-30T17:38:00Z</cp:lastPrinted>
  <dcterms:created xsi:type="dcterms:W3CDTF">2018-06-07T15:22:00Z</dcterms:created>
  <dcterms:modified xsi:type="dcterms:W3CDTF">2019-10-18T08:04:00Z</dcterms:modified>
</cp:coreProperties>
</file>