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rPr>
          <w:rFonts w:ascii="Times New Roman" w:hAnsi="Times New Roman"/>
        </w:rPr>
      </w:pPr>
    </w:p>
    <w:p/>
    <w:p/>
    <w:p>
      <w:pPr>
        <w:pStyle w:val="Titre2"/>
        <w:rPr>
          <w:caps/>
          <w:sz w:val="24"/>
          <w:szCs w:val="24"/>
        </w:rPr>
      </w:pPr>
      <w:r>
        <w:rPr>
          <w:sz w:val="24"/>
          <w:szCs w:val="24"/>
        </w:rP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CONNAISSANCE DES MATERIAUX</w:t>
      </w: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DOMAINE : SCIENCES DE L’INGENIEUR ET TECHNOLOGIE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23 61 11 U41 D2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fr-FR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</w:t>
      </w:r>
      <w:bookmarkStart w:id="0" w:name="_GoBack"/>
      <w:bookmarkEnd w:id="0"/>
      <w:r>
        <w:rPr>
          <w:b/>
          <w:sz w:val="24"/>
          <w:szCs w:val="24"/>
        </w:rPr>
        <w:t>,</w:t>
      </w:r>
    </w:p>
    <w:p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CONNAISSANCE DES MATERIAUX</w:t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LONG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D'ENSEIGNEMENT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Cette unité d’enseignement vise à permettre à l'étudiant 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 les différents aspects du choix correct d’un matériau dans des applications courantes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d'analyser les différents aspects d'élaboration des matériaux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s'adapter à l'évolution de nouveaux composants électroniques.</w:t>
      </w:r>
    </w:p>
    <w:p>
      <w:pPr>
        <w:suppressAutoHyphens w:val="0"/>
        <w:spacing w:after="120"/>
        <w:ind w:left="1134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à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24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et/ ou observées afin de sélectionner le plus adéquat.</w:t>
      </w:r>
    </w:p>
    <w:p>
      <w:pPr>
        <w:suppressAutoHyphens w:val="0"/>
        <w:spacing w:after="200" w:line="276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>
      <w:pPr>
        <w:numPr>
          <w:ilvl w:val="12"/>
          <w:numId w:val="0"/>
        </w:numPr>
        <w:tabs>
          <w:tab w:val="left" w:pos="567"/>
        </w:tabs>
        <w:spacing w:after="120"/>
        <w:ind w:lef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2.2. Titres pouvant en tenir lieu</w:t>
      </w:r>
    </w:p>
    <w:p>
      <w:pPr>
        <w:pStyle w:val="1"/>
        <w:spacing w:after="120"/>
        <w:ind w:left="993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spacing w:after="120"/>
        <w:ind w:left="360"/>
        <w:jc w:val="both"/>
        <w:rPr>
          <w:b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1" w:name="CAT"/>
      <w:bookmarkEnd w:id="1"/>
      <w:r>
        <w:rPr>
          <w:b/>
          <w:spacing w:val="-3"/>
          <w:sz w:val="22"/>
          <w:szCs w:val="22"/>
        </w:rPr>
        <w:t>Pour atteindre le seuil de réussite, l'étudiant sera capable</w:t>
      </w:r>
    </w:p>
    <w:p>
      <w:pPr>
        <w:tabs>
          <w:tab w:val="left" w:pos="-720"/>
        </w:tabs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partir d’une application technique,</w:t>
      </w:r>
    </w:p>
    <w:p>
      <w:pPr>
        <w:tabs>
          <w:tab w:val="left" w:pos="-720"/>
        </w:tabs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tabs>
          <w:tab w:val="left" w:pos="-720"/>
        </w:tabs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tabs>
          <w:tab w:val="left" w:pos="-720"/>
        </w:tabs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développant des stratégies de recherche et d'exploitations documentaires en langue française et étrangère, </w:t>
      </w:r>
    </w:p>
    <w:p>
      <w:pPr>
        <w:tabs>
          <w:tab w:val="left" w:pos="-720"/>
        </w:tabs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développant des compétences de communication écrite et orale en langue française et le cas échéant en langue anglaise,</w:t>
      </w:r>
    </w:p>
    <w:p>
      <w:pPr>
        <w:numPr>
          <w:ilvl w:val="0"/>
          <w:numId w:val="18"/>
        </w:numPr>
        <w:tabs>
          <w:tab w:val="clear" w:pos="360"/>
          <w:tab w:val="left" w:pos="-720"/>
          <w:tab w:val="num" w:pos="720"/>
        </w:tabs>
        <w:spacing w:after="120"/>
        <w:ind w:left="720" w:hanging="294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justifier le choix d’un ou plusieurs matériaux utilisés dans l’application technique concernée ;</w:t>
      </w:r>
    </w:p>
    <w:p>
      <w:pPr>
        <w:numPr>
          <w:ilvl w:val="0"/>
          <w:numId w:val="18"/>
        </w:numPr>
        <w:tabs>
          <w:tab w:val="clear" w:pos="360"/>
          <w:tab w:val="left" w:pos="-720"/>
          <w:tab w:val="num" w:pos="720"/>
        </w:tabs>
        <w:spacing w:after="120"/>
        <w:ind w:left="720" w:hanging="294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d’optimiser ce choix.</w:t>
      </w:r>
    </w:p>
    <w:p>
      <w:pPr>
        <w:tabs>
          <w:tab w:val="left" w:pos="-720"/>
        </w:tabs>
        <w:spacing w:after="120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18"/>
        </w:numPr>
        <w:tabs>
          <w:tab w:val="clear" w:pos="360"/>
          <w:tab w:val="left" w:pos="-720"/>
          <w:tab w:val="num" w:pos="720"/>
        </w:tabs>
        <w:spacing w:after="120"/>
        <w:ind w:left="720" w:hanging="294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8"/>
        </w:numPr>
        <w:tabs>
          <w:tab w:val="clear" w:pos="360"/>
          <w:tab w:val="left" w:pos="-720"/>
          <w:tab w:val="num" w:pos="720"/>
        </w:tabs>
        <w:spacing w:after="120"/>
        <w:ind w:left="720" w:hanging="294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8"/>
        </w:numPr>
        <w:tabs>
          <w:tab w:val="clear" w:pos="360"/>
          <w:tab w:val="left" w:pos="-720"/>
          <w:tab w:val="num" w:pos="720"/>
        </w:tabs>
        <w:spacing w:after="120"/>
        <w:ind w:left="720" w:hanging="294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18"/>
        </w:numPr>
        <w:tabs>
          <w:tab w:val="clear" w:pos="360"/>
          <w:tab w:val="left" w:pos="-720"/>
          <w:tab w:val="num" w:pos="720"/>
        </w:tabs>
        <w:spacing w:after="120"/>
        <w:ind w:left="720" w:hanging="294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tabs>
          <w:tab w:val="left" w:pos="709"/>
        </w:tabs>
        <w:suppressAutoHyphens w:val="0"/>
        <w:spacing w:after="120"/>
        <w:ind w:left="360"/>
        <w:jc w:val="both"/>
        <w:rPr>
          <w:color w:val="000000"/>
          <w:sz w:val="22"/>
          <w:szCs w:val="22"/>
          <w:highlight w:val="yellow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</w:rPr>
        <w:t>PROGRAMME</w:t>
      </w:r>
    </w:p>
    <w:p>
      <w:pPr>
        <w:tabs>
          <w:tab w:val="left" w:pos="567"/>
        </w:tabs>
        <w:spacing w:after="120"/>
        <w:ind w:left="360" w:firstLine="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L’étudiant sera capable :</w:t>
      </w:r>
    </w:p>
    <w:p>
      <w:pPr>
        <w:pStyle w:val="CorpsA"/>
        <w:spacing w:after="120"/>
        <w:ind w:left="426"/>
        <w:jc w:val="both"/>
        <w:rPr>
          <w:i/>
          <w:iCs/>
          <w:spacing w:val="-3"/>
          <w:sz w:val="22"/>
          <w:szCs w:val="22"/>
          <w:lang w:val="fr-BE"/>
        </w:rPr>
      </w:pPr>
      <w:r>
        <w:rPr>
          <w:i/>
          <w:iCs/>
          <w:spacing w:val="-3"/>
          <w:sz w:val="22"/>
          <w:szCs w:val="22"/>
          <w:lang w:val="fr-BE"/>
        </w:rPr>
        <w:t>à partir d’applications se rapportant : aux matériaux isolants, aux matériaux conducteurs, aux semi-conducteurs, aux matériaux nécessaires à la fabrication des composants électroniques actifs et passifs, aux matériaux nécessaires à la fabrication des circuits imprimés, aux matériaux utilisés en microélectronique, en électronique de puissance, optoélectronique ...,</w:t>
      </w:r>
    </w:p>
    <w:p>
      <w:pPr>
        <w:numPr>
          <w:ilvl w:val="12"/>
          <w:numId w:val="0"/>
        </w:num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numPr>
          <w:ilvl w:val="12"/>
          <w:numId w:val="0"/>
        </w:num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numPr>
          <w:ilvl w:val="12"/>
          <w:numId w:val="0"/>
        </w:num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documentaires, en vue de développer des stratégies de recherche en langue française et étrangère,</w:t>
      </w:r>
    </w:p>
    <w:p>
      <w:pPr>
        <w:numPr>
          <w:ilvl w:val="12"/>
          <w:numId w:val="0"/>
        </w:num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exploitant les résultats de la recherche, </w:t>
      </w:r>
    </w:p>
    <w:p>
      <w:pPr>
        <w:numPr>
          <w:ilvl w:val="12"/>
          <w:numId w:val="0"/>
        </w:num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en développant des compétences de communication écrite et orale en langue française et le cas échéant en langue anglaise,</w:t>
      </w:r>
    </w:p>
    <w:p>
      <w:pPr>
        <w:numPr>
          <w:ilvl w:val="12"/>
          <w:numId w:val="0"/>
        </w:numPr>
        <w:spacing w:after="120"/>
        <w:ind w:left="426"/>
        <w:jc w:val="both"/>
        <w:rPr>
          <w:i/>
          <w:spacing w:val="-3"/>
          <w:sz w:val="22"/>
          <w:szCs w:val="22"/>
          <w:lang w:val="fr-BE"/>
        </w:rPr>
      </w:pPr>
    </w:p>
    <w:p>
      <w:pPr>
        <w:numPr>
          <w:ilvl w:val="0"/>
          <w:numId w:val="22"/>
        </w:numPr>
        <w:tabs>
          <w:tab w:val="clear" w:pos="360"/>
          <w:tab w:val="left" w:pos="-720"/>
          <w:tab w:val="num" w:pos="720"/>
        </w:tabs>
        <w:spacing w:after="120"/>
        <w:ind w:left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  <w:lang w:val="fr-BE"/>
        </w:rPr>
        <w:t>d’identifier les principaux matériaux qui interviennent dans la constitution des composants électroniques les plus courants ;</w:t>
      </w:r>
    </w:p>
    <w:p>
      <w:pPr>
        <w:numPr>
          <w:ilvl w:val="0"/>
          <w:numId w:val="22"/>
        </w:numPr>
        <w:tabs>
          <w:tab w:val="clear" w:pos="360"/>
          <w:tab w:val="left" w:pos="-720"/>
          <w:tab w:val="num" w:pos="720"/>
        </w:tabs>
        <w:spacing w:after="120"/>
        <w:ind w:left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justifier le choix des composants électroniques les mieux adaptés ;</w:t>
      </w:r>
    </w:p>
    <w:p>
      <w:pPr>
        <w:numPr>
          <w:ilvl w:val="0"/>
          <w:numId w:val="22"/>
        </w:numPr>
        <w:tabs>
          <w:tab w:val="clear" w:pos="360"/>
          <w:tab w:val="left" w:pos="-720"/>
          <w:tab w:val="num" w:pos="720"/>
        </w:tabs>
        <w:spacing w:after="120"/>
        <w:ind w:left="7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de déterminer les phénomènes qui perturbent le fonctionnement des circuits électroniques (corrosion, température, humidité, champ magnétique …) et de </w:t>
      </w:r>
      <w:r>
        <w:rPr>
          <w:spacing w:val="-3"/>
          <w:sz w:val="22"/>
          <w:szCs w:val="22"/>
          <w:lang w:val="fr-BE"/>
        </w:rPr>
        <w:t>choisir des matériaux adéquats comme techniques de remédiation</w:t>
      </w:r>
      <w:r>
        <w:rPr>
          <w:spacing w:val="-3"/>
          <w:sz w:val="22"/>
          <w:szCs w:val="22"/>
        </w:rPr>
        <w:t> ;</w:t>
      </w:r>
    </w:p>
    <w:p>
      <w:pPr>
        <w:numPr>
          <w:ilvl w:val="0"/>
          <w:numId w:val="22"/>
        </w:numPr>
        <w:tabs>
          <w:tab w:val="clear" w:pos="360"/>
          <w:tab w:val="left" w:pos="-720"/>
          <w:tab w:val="num" w:pos="720"/>
        </w:tabs>
        <w:spacing w:after="120"/>
        <w:ind w:left="720"/>
        <w:jc w:val="both"/>
        <w:rPr>
          <w:spacing w:val="-3"/>
          <w:sz w:val="24"/>
        </w:rPr>
      </w:pPr>
      <w:r>
        <w:rPr>
          <w:spacing w:val="-3"/>
          <w:sz w:val="22"/>
          <w:szCs w:val="22"/>
          <w:lang w:val="fr-BE"/>
        </w:rPr>
        <w:t>d'expliciter les  principes de procédés de fabrication des composants et des circuits électroniques.</w:t>
      </w:r>
    </w:p>
    <w:p>
      <w:pPr>
        <w:tabs>
          <w:tab w:val="left" w:pos="-720"/>
        </w:tabs>
        <w:spacing w:after="120"/>
        <w:ind w:left="360"/>
        <w:jc w:val="both"/>
        <w:rPr>
          <w:spacing w:val="-3"/>
          <w:sz w:val="24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Aucune recommandation particulière. </w:t>
      </w:r>
    </w:p>
    <w:p>
      <w:pPr>
        <w:pStyle w:val="2"/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pStyle w:val="2"/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90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544"/>
        <w:gridCol w:w="1221"/>
        <w:gridCol w:w="1530"/>
      </w:tblGrid>
      <w:tr>
        <w:trPr>
          <w:cantSplit/>
        </w:trPr>
        <w:tc>
          <w:tcPr>
            <w:tcW w:w="4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before="120"/>
              <w:ind w:left="7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474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Connaissance des matériaux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  <w:trHeight w:val="322"/>
        </w:trPr>
        <w:tc>
          <w:tcPr>
            <w:tcW w:w="62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7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751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ind w:left="708" w:hanging="708"/>
        <w:rPr>
          <w:sz w:val="22"/>
          <w:szCs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002060"/>
      </w:rPr>
    </w:pPr>
    <w:r>
      <w:rPr>
        <w:color w:val="002060"/>
      </w:rPr>
      <w:t>Connaissance des matériaux</w:t>
    </w:r>
    <w:r>
      <w:rPr>
        <w:color w:val="002060"/>
      </w:rPr>
      <w:tab/>
    </w:r>
    <w:r>
      <w:rPr>
        <w:color w:val="002060"/>
      </w:rPr>
      <w:tab/>
    </w:r>
    <w:sdt>
      <w:sdtPr>
        <w:rPr>
          <w:color w:val="002060"/>
        </w:rPr>
        <w:id w:val="-1209326771"/>
        <w:docPartObj>
          <w:docPartGallery w:val="Page Numbers (Bottom of Page)"/>
          <w:docPartUnique/>
        </w:docPartObj>
      </w:sdtPr>
      <w:sdtContent>
        <w:sdt>
          <w:sdtPr>
            <w:rPr>
              <w:color w:val="00206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color w:val="002060"/>
              </w:rPr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sdtContent>
        </w:sdt>
      </w:sdtContent>
    </w:sdt>
  </w:p>
  <w:p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96B0F2D"/>
    <w:multiLevelType w:val="singleLevel"/>
    <w:tmpl w:val="4C7226C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685C41"/>
    <w:multiLevelType w:val="hybridMultilevel"/>
    <w:tmpl w:val="0B3AEC7C"/>
    <w:lvl w:ilvl="0" w:tplc="BCD4C6C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BCD4C6CE">
      <w:start w:val="1"/>
      <w:numFmt w:val="bullet"/>
      <w:lvlText w:val=""/>
      <w:lvlJc w:val="left"/>
      <w:pPr>
        <w:ind w:left="1070" w:hanging="360"/>
      </w:pPr>
      <w:rPr>
        <w:rFonts w:ascii="Symbol" w:hAnsi="Symbol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8461B"/>
    <w:multiLevelType w:val="hybridMultilevel"/>
    <w:tmpl w:val="9E9E8D6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1257F0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2"/>
      </w:rPr>
    </w:lvl>
  </w:abstractNum>
  <w:abstractNum w:abstractNumId="6" w15:restartNumberingAfterBreak="0">
    <w:nsid w:val="1C453EBE"/>
    <w:multiLevelType w:val="singleLevel"/>
    <w:tmpl w:val="4C7226C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51003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8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4C72742"/>
    <w:multiLevelType w:val="singleLevel"/>
    <w:tmpl w:val="09984D9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400F4883"/>
    <w:multiLevelType w:val="singleLevel"/>
    <w:tmpl w:val="09984D9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AA2564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8356C77"/>
    <w:multiLevelType w:val="singleLevel"/>
    <w:tmpl w:val="FFFFFFFF"/>
    <w:lvl w:ilvl="0">
      <w:numFmt w:val="decimal"/>
      <w:lvlText w:val="*"/>
      <w:lvlJc w:val="left"/>
    </w:lvl>
  </w:abstractNum>
  <w:abstractNum w:abstractNumId="14" w15:restartNumberingAfterBreak="0">
    <w:nsid w:val="53AA6687"/>
    <w:multiLevelType w:val="singleLevel"/>
    <w:tmpl w:val="4C7226C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4076467"/>
    <w:multiLevelType w:val="singleLevel"/>
    <w:tmpl w:val="09984D9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74D781B"/>
    <w:multiLevelType w:val="singleLevel"/>
    <w:tmpl w:val="AE74154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7" w15:restartNumberingAfterBreak="0">
    <w:nsid w:val="5CB963E7"/>
    <w:multiLevelType w:val="hybridMultilevel"/>
    <w:tmpl w:val="E65277F4"/>
    <w:lvl w:ilvl="0" w:tplc="B7F2722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9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90ACE"/>
    <w:multiLevelType w:val="singleLevel"/>
    <w:tmpl w:val="FFFFFFFF"/>
    <w:lvl w:ilvl="0">
      <w:numFmt w:val="decimal"/>
      <w:lvlText w:val="*"/>
      <w:lvlJc w:val="left"/>
    </w:lvl>
  </w:abstractNum>
  <w:abstractNum w:abstractNumId="21" w15:restartNumberingAfterBreak="0">
    <w:nsid w:val="729B673C"/>
    <w:multiLevelType w:val="hybridMultilevel"/>
    <w:tmpl w:val="9086F6D8"/>
    <w:lvl w:ilvl="0" w:tplc="7E2A7EEC">
      <w:start w:val="1"/>
      <w:numFmt w:val="bullet"/>
      <w:lvlText w:val=""/>
      <w:lvlJc w:val="left"/>
      <w:pPr>
        <w:tabs>
          <w:tab w:val="num" w:pos="459"/>
        </w:tabs>
        <w:ind w:left="2444" w:hanging="284"/>
      </w:pPr>
      <w:rPr>
        <w:rFonts w:ascii="Symbol" w:hAnsi="Symbol" w:cs="Symbol" w:hint="default"/>
        <w:color w:val="auto"/>
        <w:sz w:val="18"/>
        <w:szCs w:val="10"/>
      </w:rPr>
    </w:lvl>
    <w:lvl w:ilvl="1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731D7CD4"/>
    <w:multiLevelType w:val="singleLevel"/>
    <w:tmpl w:val="85D6D6AE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AAF6F16"/>
    <w:multiLevelType w:val="multilevel"/>
    <w:tmpl w:val="EA4CE7B6"/>
    <w:styleLink w:val="WWNum15"/>
    <w:lvl w:ilvl="0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♦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19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22"/>
  </w:num>
  <w:num w:numId="7">
    <w:abstractNumId w:val="21"/>
  </w:num>
  <w:num w:numId="8">
    <w:abstractNumId w:val="12"/>
  </w:num>
  <w:num w:numId="9">
    <w:abstractNumId w:val="3"/>
  </w:num>
  <w:num w:numId="10">
    <w:abstractNumId w:val="15"/>
  </w:num>
  <w:num w:numId="1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2">
    <w:abstractNumId w:val="20"/>
  </w:num>
  <w:num w:numId="13">
    <w:abstractNumId w:val="13"/>
  </w:num>
  <w:num w:numId="14">
    <w:abstractNumId w:val="17"/>
  </w:num>
  <w:num w:numId="15">
    <w:abstractNumId w:val="4"/>
  </w:num>
  <w:num w:numId="16">
    <w:abstractNumId w:val="5"/>
  </w:num>
  <w:num w:numId="17">
    <w:abstractNumId w:val="11"/>
  </w:num>
  <w:num w:numId="18">
    <w:abstractNumId w:val="6"/>
  </w:num>
  <w:num w:numId="19">
    <w:abstractNumId w:val="9"/>
  </w:num>
  <w:num w:numId="20">
    <w:abstractNumId w:val="16"/>
  </w:num>
  <w:num w:numId="21">
    <w:abstractNumId w:val="2"/>
  </w:num>
  <w:num w:numId="22">
    <w:abstractNumId w:val="14"/>
  </w:num>
  <w:num w:numId="23">
    <w:abstractNumId w:val="7"/>
  </w:num>
  <w:num w:numId="24">
    <w:abstractNumId w:val="1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17AAC8A-E44C-49BF-AF3B-C2DCBDAC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2">
    <w:name w:val="2"/>
    <w:basedOn w:val="Normal"/>
    <w:pPr>
      <w:suppressAutoHyphens w:val="0"/>
      <w:ind w:left="709"/>
    </w:pPr>
    <w:rPr>
      <w:rFonts w:ascii="Courier New" w:hAnsi="Courier New"/>
      <w:sz w:val="22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1">
    <w:name w:val="1"/>
    <w:basedOn w:val="Liste"/>
    <w:pPr>
      <w:suppressAutoHyphens w:val="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CorpsA">
    <w:name w:val="Corps A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kern w:val="3"/>
      <w:sz w:val="20"/>
      <w:szCs w:val="20"/>
      <w:lang w:val="fr-FR" w:eastAsia="fr-BE"/>
    </w:rPr>
  </w:style>
  <w:style w:type="numbering" w:customStyle="1" w:styleId="WWNum15">
    <w:name w:val="WWNum15"/>
    <w:basedOn w:val="Aucuneliste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C35AA-9540-4004-AF33-11EA2DFA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917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34</cp:revision>
  <cp:lastPrinted>2018-02-27T13:47:00Z</cp:lastPrinted>
  <dcterms:created xsi:type="dcterms:W3CDTF">2018-03-06T15:43:00Z</dcterms:created>
  <dcterms:modified xsi:type="dcterms:W3CDTF">2019-10-16T08:34:00Z</dcterms:modified>
</cp:coreProperties>
</file>