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sz w:val="22"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  <w:szCs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>
      <w:pPr>
        <w:pStyle w:val="Texte"/>
        <w:ind w:right="-4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sz w:val="22"/>
          <w:szCs w:val="22"/>
        </w:rPr>
        <w:t xml:space="preserve">ENSEIGNEMENT DE PROMOTION SOCIALE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tabs>
          <w:tab w:val="left" w:pos="9919"/>
        </w:tabs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itre4"/>
        <w:rPr>
          <w:sz w:val="24"/>
          <w:szCs w:val="24"/>
        </w:rPr>
      </w:pPr>
      <w:r>
        <w:rPr>
          <w:sz w:val="24"/>
          <w:szCs w:val="24"/>
        </w:rPr>
        <w:t>UNITE D’ENSEIGNEMENT</w:t>
      </w:r>
    </w:p>
    <w:p>
      <w:pPr>
        <w:jc w:val="center"/>
      </w:pPr>
    </w:p>
    <w:p>
      <w:pPr>
        <w:jc w:val="center"/>
      </w:pPr>
      <w:r>
        <w:rPr>
          <w:b/>
          <w:caps/>
          <w:sz w:val="32"/>
        </w:rPr>
        <w:t>AGENT DE GARDIENNAGE : Axe relationnel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2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  850006U21D2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801</w:t>
            </w:r>
          </w:p>
        </w:tc>
      </w:tr>
      <w:tr>
        <w:tc>
          <w:tcPr>
            <w:tcW w:w="5529" w:type="dxa"/>
            <w:tcBorders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18 juin 2020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jc w:val="center"/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AGENT DE GARDIENNAGE : axe relationnel</w:t>
            </w:r>
          </w:p>
          <w:p>
            <w:pPr>
              <w:jc w:val="center"/>
            </w:pP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SECONDAIRE superieur de tRANSITION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ind w:left="435" w:hanging="4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FINALITES DE L’UNITE D’ENSEIGNEMENT</w:t>
      </w:r>
    </w:p>
    <w:p>
      <w:pPr>
        <w:ind w:left="435" w:hanging="435"/>
        <w:jc w:val="both"/>
        <w:rPr>
          <w:b/>
          <w:sz w:val="22"/>
          <w:szCs w:val="22"/>
        </w:rPr>
      </w:pPr>
    </w:p>
    <w:p>
      <w:pPr>
        <w:ind w:left="435" w:hanging="435"/>
        <w:jc w:val="both"/>
        <w:rPr>
          <w:b/>
          <w:sz w:val="22"/>
          <w:szCs w:val="22"/>
        </w:rPr>
      </w:pPr>
    </w:p>
    <w:p>
      <w:pPr>
        <w:spacing w:before="120"/>
        <w:ind w:left="284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1.1.  Finalités générales</w:t>
      </w:r>
      <w:r>
        <w:rPr>
          <w:sz w:val="22"/>
          <w:szCs w:val="22"/>
        </w:rPr>
        <w:t xml:space="preserve"> </w:t>
      </w:r>
    </w:p>
    <w:p>
      <w:pPr>
        <w:spacing w:before="120"/>
        <w:ind w:left="284" w:firstLine="142"/>
        <w:jc w:val="both"/>
        <w:rPr>
          <w:sz w:val="22"/>
          <w:szCs w:val="22"/>
        </w:rPr>
      </w:pPr>
    </w:p>
    <w:p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Conformément à l'article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  <w:szCs w:val="22"/>
          </w:rPr>
          <w:t>la Communauté</w:t>
        </w:r>
      </w:smartTag>
      <w:r>
        <w:rPr>
          <w:sz w:val="22"/>
          <w:szCs w:val="22"/>
        </w:rP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rPr>
            <w:sz w:val="22"/>
            <w:szCs w:val="22"/>
          </w:rPr>
          <w:t>16 avril 1991</w:t>
        </w:r>
      </w:smartTag>
      <w:r>
        <w:rPr>
          <w:sz w:val="22"/>
          <w:szCs w:val="22"/>
        </w:rPr>
        <w:t xml:space="preserve"> organisant l'enseignement de promotion sociale, cette unité d’enseignement doit :</w:t>
      </w:r>
    </w:p>
    <w:p>
      <w:pPr>
        <w:numPr>
          <w:ilvl w:val="0"/>
          <w:numId w:val="2"/>
        </w:numPr>
        <w:tabs>
          <w:tab w:val="clear" w:pos="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concourir à l'épanouissement individuel en promouvant une meilleure insertion professionnelle, sociale, scolaire et culturelle ;</w:t>
      </w:r>
    </w:p>
    <w:p>
      <w:pPr>
        <w:numPr>
          <w:ilvl w:val="0"/>
          <w:numId w:val="2"/>
        </w:numPr>
        <w:tabs>
          <w:tab w:val="clear" w:pos="0"/>
          <w:tab w:val="num" w:pos="1276"/>
        </w:tabs>
        <w:spacing w:before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tabs>
          <w:tab w:val="left" w:pos="851"/>
        </w:tabs>
        <w:spacing w:before="120"/>
        <w:ind w:left="284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 Finalités particulières </w:t>
      </w:r>
    </w:p>
    <w:p>
      <w:pPr>
        <w:spacing w:before="120"/>
        <w:ind w:left="284" w:firstLine="142"/>
        <w:jc w:val="both"/>
        <w:rPr>
          <w:b/>
          <w:sz w:val="22"/>
          <w:szCs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Cette unité d’enseignement vise à permettre à l’étudiant d’acquérir les notions théoriques et les outils techniques et / ou méthodologiques spécifiques à l’exercice du métier d’Agent de gardiennage dans son volet relationnel, dans le respect des conditions légales et réglementaires émanant du SPF Intérieur. </w:t>
      </w: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sz w:val="22"/>
        </w:rPr>
      </w:pPr>
    </w:p>
    <w:p/>
    <w:p>
      <w:pPr>
        <w:spacing w:before="120"/>
        <w:ind w:left="851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br w:type="page"/>
      </w:r>
    </w:p>
    <w:p>
      <w:pPr>
        <w:shd w:val="clear" w:color="auto" w:fill="FFFFFF"/>
        <w:tabs>
          <w:tab w:val="left" w:pos="1147"/>
        </w:tabs>
        <w:spacing w:before="120"/>
        <w:ind w:firstLine="709"/>
        <w:jc w:val="both"/>
        <w:rPr>
          <w:spacing w:val="4"/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CAPACITES PREALABLES REQUISES  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2.1. L'étudiant sera capable de:</w:t>
      </w: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</w:p>
    <w:p>
      <w:pPr>
        <w:pStyle w:val="Listepuces2"/>
        <w:numPr>
          <w:ilvl w:val="0"/>
          <w:numId w:val="0"/>
        </w:numPr>
        <w:spacing w:before="0"/>
        <w:ind w:left="850" w:right="-7"/>
        <w:jc w:val="both"/>
        <w:rPr>
          <w:b/>
          <w:i/>
          <w:color w:val="FF0000"/>
        </w:rPr>
      </w:pPr>
      <w:r>
        <w:rPr>
          <w:i/>
        </w:rPr>
        <w:t xml:space="preserve">Au départ de situations exemplatives ou réelles, par l’analyse  de comportements humains dits problématiques dans une société donnée à un moment donné, au travers d’épreuves écrites et/ou orales, </w:t>
      </w:r>
      <w:r>
        <w:rPr>
          <w:i/>
          <w:iCs/>
        </w:rPr>
        <w:t>tout en respectant les consignes relatives à l’utilisation de la langue française,</w:t>
      </w:r>
    </w:p>
    <w:p>
      <w:pPr>
        <w:pStyle w:val="BodyTextIndent21"/>
        <w:ind w:left="851" w:right="-7"/>
      </w:pPr>
      <w:r>
        <w:t xml:space="preserve"> </w:t>
      </w: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1276" w:right="-7" w:hanging="284"/>
        <w:jc w:val="both"/>
        <w:rPr>
          <w:sz w:val="22"/>
        </w:rPr>
      </w:pPr>
      <w:r>
        <w:rPr>
          <w:sz w:val="22"/>
        </w:rPr>
        <w:t>de décrire les besoins fondamentaux individuels par rapport au fonctionnement collectif afin d’analyser  la satisfaction ou non de ceux-ci dans  des situations concrètes ; </w:t>
      </w: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1276" w:right="-7" w:hanging="284"/>
        <w:jc w:val="both"/>
        <w:rPr>
          <w:sz w:val="22"/>
        </w:rPr>
      </w:pPr>
      <w:r>
        <w:rPr>
          <w:sz w:val="22"/>
        </w:rPr>
        <w:t>de repérer les processus psychosociaux impliqués dans les problèmes ou les conflits sociaux (racisme, violence, multi-culturalité, individualisme, mondialisation, radicalisme, intégrisme…) ;</w:t>
      </w: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1276" w:right="-7" w:hanging="284"/>
        <w:jc w:val="both"/>
        <w:rPr>
          <w:sz w:val="22"/>
        </w:rPr>
      </w:pPr>
      <w:r>
        <w:rPr>
          <w:sz w:val="22"/>
        </w:rPr>
        <w:t>d’identifier  les règles déontologiques fondamentales concernées en vigueur dans le secteur des services aux personnes dans des situations concrètes telles que l’accueil de personnes violentes, alcoolisées, traumatisées etc. ;</w:t>
      </w: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120" w:after="120"/>
        <w:ind w:left="1276" w:right="-7" w:hanging="284"/>
        <w:jc w:val="both"/>
        <w:rPr>
          <w:sz w:val="22"/>
        </w:rPr>
      </w:pPr>
      <w:r>
        <w:rPr>
          <w:sz w:val="22"/>
        </w:rPr>
        <w:t>d’identifier les concepts de base et les notions essentielles du droit et de la législation en vigueur dans le monde du travail.</w:t>
      </w:r>
    </w:p>
    <w:p>
      <w:pPr>
        <w:ind w:left="851"/>
        <w:jc w:val="both"/>
        <w:rPr>
          <w:sz w:val="22"/>
        </w:rPr>
      </w:pPr>
    </w:p>
    <w:p>
      <w:pPr>
        <w:ind w:left="851"/>
        <w:jc w:val="both"/>
        <w:rPr>
          <w:i/>
          <w:sz w:val="22"/>
        </w:rPr>
      </w:pPr>
      <w:r>
        <w:rPr>
          <w:i/>
          <w:sz w:val="22"/>
          <w:szCs w:val="22"/>
        </w:rPr>
        <w:t>En illustrant en quoi une démarche de réflexion philosophique peut éclairer des problématiques actuelles dans</w:t>
      </w:r>
      <w:r>
        <w:rPr>
          <w:i/>
          <w:sz w:val="22"/>
        </w:rPr>
        <w:t xml:space="preserve"> la société au sein de laquelle nous évoluons.</w:t>
      </w:r>
    </w:p>
    <w:p>
      <w:pPr>
        <w:tabs>
          <w:tab w:val="left" w:pos="426"/>
        </w:tabs>
        <w:ind w:left="992"/>
        <w:jc w:val="both"/>
        <w:rPr>
          <w:sz w:val="22"/>
        </w:rPr>
      </w:pP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ind w:left="1276" w:hanging="284"/>
        <w:jc w:val="both"/>
        <w:rPr>
          <w:sz w:val="22"/>
        </w:rPr>
      </w:pPr>
      <w:r>
        <w:rPr>
          <w:sz w:val="22"/>
        </w:rPr>
        <w:t>de produire des messages oraux appropriés à la situation de communication en adaptant son attitude et son langage verbal et non-verbal à son interlocuteur dans un contexte professionnel ;</w:t>
      </w:r>
    </w:p>
    <w:p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ind w:left="1276" w:hanging="284"/>
        <w:jc w:val="both"/>
        <w:rPr>
          <w:sz w:val="22"/>
        </w:rPr>
      </w:pPr>
      <w:r>
        <w:rPr>
          <w:sz w:val="22"/>
        </w:rPr>
        <w:t>de produire des messages écrits appropriés à la situation de communication en rendant compte de ses observations sous forme de notes ou de rapports  dont le modèle est préalablement défini ou non,</w:t>
      </w:r>
    </w:p>
    <w:p>
      <w:pPr>
        <w:widowControl w:val="0"/>
        <w:tabs>
          <w:tab w:val="left" w:pos="426"/>
        </w:tabs>
        <w:ind w:left="992"/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i/>
          <w:sz w:val="22"/>
          <w:szCs w:val="22"/>
        </w:rPr>
        <w:t>face à des situations de communication professionnelle en vigueur dans le domaine des métiers de la</w:t>
      </w:r>
      <w:r>
        <w:rPr>
          <w:i/>
          <w:sz w:val="22"/>
        </w:rPr>
        <w:t xml:space="preserve"> prévention et de la sécurité</w:t>
      </w:r>
      <w:r>
        <w:rPr>
          <w:sz w:val="22"/>
        </w:rPr>
        <w:t xml:space="preserve">. </w:t>
      </w:r>
    </w:p>
    <w:p>
      <w:pPr>
        <w:tabs>
          <w:tab w:val="left" w:pos="1404"/>
        </w:tabs>
        <w:spacing w:line="396" w:lineRule="atLeast"/>
        <w:rPr>
          <w:b/>
          <w:sz w:val="22"/>
          <w:szCs w:val="22"/>
        </w:rPr>
      </w:pPr>
    </w:p>
    <w:p>
      <w:pPr>
        <w:tabs>
          <w:tab w:val="left" w:pos="1404"/>
        </w:tabs>
        <w:spacing w:line="228" w:lineRule="exact"/>
        <w:rPr>
          <w:b/>
          <w:sz w:val="22"/>
          <w:szCs w:val="22"/>
        </w:rPr>
      </w:pPr>
    </w:p>
    <w:p>
      <w:pPr>
        <w:tabs>
          <w:tab w:val="left" w:pos="1404"/>
        </w:tabs>
        <w:spacing w:line="228" w:lineRule="exact"/>
        <w:rPr>
          <w:b/>
          <w:sz w:val="22"/>
          <w:szCs w:val="22"/>
        </w:rPr>
      </w:pPr>
    </w:p>
    <w:p>
      <w:pPr>
        <w:tabs>
          <w:tab w:val="left" w:pos="1404"/>
        </w:tabs>
        <w:spacing w:line="228" w:lineRule="exact"/>
        <w:rPr>
          <w:b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</w:p>
    <w:p>
      <w:pPr>
        <w:numPr>
          <w:ilvl w:val="1"/>
          <w:numId w:val="5"/>
        </w:numPr>
        <w:tabs>
          <w:tab w:val="left" w:pos="-720"/>
        </w:tabs>
        <w:jc w:val="both"/>
        <w:rPr>
          <w:b/>
          <w:sz w:val="22"/>
        </w:rPr>
      </w:pPr>
      <w:r>
        <w:rPr>
          <w:b/>
          <w:sz w:val="22"/>
        </w:rPr>
        <w:t>Titres pouvant en tenir lieu</w:t>
      </w:r>
    </w:p>
    <w:p>
      <w:pPr>
        <w:numPr>
          <w:ilvl w:val="12"/>
          <w:numId w:val="0"/>
        </w:numPr>
        <w:ind w:left="851"/>
        <w:jc w:val="both"/>
        <w:rPr>
          <w:b/>
          <w:sz w:val="22"/>
        </w:rPr>
      </w:pP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ind w:left="857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l’UE    « Techniques de la communication appliquées aux métiers de la prévention et de la sécurité » –  Code : </w:t>
      </w:r>
      <w:r>
        <w:rPr>
          <w:sz w:val="22"/>
          <w:lang w:val="nl-NL"/>
        </w:rPr>
        <w:t>850003U21D1</w:t>
      </w:r>
    </w:p>
    <w:p>
      <w:pPr>
        <w:ind w:left="857"/>
        <w:rPr>
          <w:sz w:val="22"/>
          <w:szCs w:val="22"/>
        </w:rPr>
      </w:pPr>
    </w:p>
    <w:p>
      <w:pPr>
        <w:ind w:left="857"/>
        <w:jc w:val="center"/>
        <w:rPr>
          <w:sz w:val="22"/>
          <w:szCs w:val="22"/>
        </w:rPr>
      </w:pPr>
      <w:r>
        <w:rPr>
          <w:sz w:val="22"/>
          <w:szCs w:val="22"/>
        </w:rPr>
        <w:t>ET</w:t>
      </w:r>
    </w:p>
    <w:p>
      <w:pPr>
        <w:ind w:left="857"/>
        <w:rPr>
          <w:sz w:val="22"/>
          <w:szCs w:val="22"/>
        </w:rPr>
      </w:pPr>
    </w:p>
    <w:p>
      <w:pPr>
        <w:ind w:left="857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l’UE    « Approche conceptuelle des métiers de la prévention et de la sécurité »– Code </w:t>
      </w:r>
      <w:r>
        <w:rPr>
          <w:sz w:val="22"/>
          <w:lang w:val="nl-NL"/>
        </w:rPr>
        <w:t>850002U21D1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hd w:val="clear" w:color="auto" w:fill="FFFFFF"/>
        <w:tabs>
          <w:tab w:val="left" w:pos="1147"/>
        </w:tabs>
        <w:spacing w:before="120"/>
        <w:ind w:firstLine="709"/>
        <w:jc w:val="both"/>
        <w:rPr>
          <w:sz w:val="22"/>
          <w:szCs w:val="22"/>
        </w:rPr>
      </w:pPr>
    </w:p>
    <w:p>
      <w:pPr>
        <w:shd w:val="clear" w:color="auto" w:fill="FFFFFF"/>
        <w:tabs>
          <w:tab w:val="left" w:pos="1147"/>
        </w:tabs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ACQUIS D’APPRENTISSAGE</w:t>
      </w:r>
    </w:p>
    <w:p>
      <w:pPr>
        <w:jc w:val="both"/>
        <w:rPr>
          <w:sz w:val="22"/>
        </w:rPr>
      </w:pPr>
    </w:p>
    <w:p>
      <w:pPr>
        <w:pStyle w:val="BodyTextIndent21"/>
      </w:pPr>
      <w:r>
        <w:t xml:space="preserve">Pour atteindre le seuil de réussite, </w:t>
      </w:r>
      <w:r>
        <w:rPr>
          <w:i/>
        </w:rPr>
        <w:t>au travers d’épreuves écrites et/ou orales</w:t>
      </w:r>
      <w:r>
        <w:t xml:space="preserve">, l’étudiant sera capable, </w:t>
      </w:r>
      <w:r>
        <w:rPr>
          <w:i/>
          <w:iCs/>
        </w:rPr>
        <w:t>tout en respectant les consignes relatives à l’utilisation de la langue française</w:t>
      </w:r>
      <w:r>
        <w:rPr>
          <w:iCs/>
        </w:rPr>
        <w:t> </w:t>
      </w:r>
      <w:r>
        <w:t>:</w:t>
      </w:r>
    </w:p>
    <w:p>
      <w:pPr>
        <w:pStyle w:val="BodyTextIndent21"/>
      </w:pPr>
    </w:p>
    <w:p>
      <w:pPr>
        <w:pStyle w:val="BodyTextIndent21"/>
      </w:pPr>
      <w:r>
        <w:t xml:space="preserve">au départ de situations professionnelles </w:t>
      </w:r>
      <w:r>
        <w:rPr>
          <w:b/>
          <w:u w:val="single"/>
        </w:rPr>
        <w:t>relevant du travail de l’agent de gardiennage</w:t>
      </w:r>
      <w:r>
        <w:t>,</w:t>
      </w:r>
    </w:p>
    <w:p>
      <w:pPr>
        <w:pStyle w:val="BodyTextIndent21"/>
      </w:pPr>
    </w:p>
    <w:p>
      <w:pPr>
        <w:pStyle w:val="BodyTextIndent21"/>
        <w:numPr>
          <w:ilvl w:val="0"/>
          <w:numId w:val="6"/>
        </w:numPr>
        <w:spacing w:before="120" w:after="120"/>
      </w:pPr>
      <w:r>
        <w:t>de proposer et de justifier des interventions pouvant faciliter la communication ;</w:t>
      </w:r>
    </w:p>
    <w:p>
      <w:pPr>
        <w:pStyle w:val="BodyTextIndent21"/>
        <w:numPr>
          <w:ilvl w:val="0"/>
          <w:numId w:val="6"/>
        </w:numPr>
        <w:tabs>
          <w:tab w:val="clear" w:pos="1211"/>
        </w:tabs>
        <w:spacing w:before="120" w:after="120"/>
      </w:pPr>
      <w:r>
        <w:t>de repérer des facteurs (échanges interculturels, …) qui influencent la communication entre l’agent de gardiennage et le public ;</w:t>
      </w:r>
    </w:p>
    <w:p>
      <w:pPr>
        <w:pStyle w:val="BodyTextIndent21"/>
        <w:numPr>
          <w:ilvl w:val="0"/>
          <w:numId w:val="6"/>
        </w:numPr>
        <w:spacing w:before="120" w:after="120"/>
      </w:pPr>
      <w:r>
        <w:t>de reconnaître une situation de conflit ou de crise et de déduire des modalités de prévention et de gestion.</w:t>
      </w:r>
    </w:p>
    <w:p>
      <w:pPr>
        <w:pStyle w:val="BodyTextIndent21"/>
        <w:rPr>
          <w:highlight w:val="yellow"/>
        </w:rPr>
      </w:pPr>
    </w:p>
    <w:p>
      <w:pPr>
        <w:pStyle w:val="BodyTextIndent21"/>
        <w:ind w:left="1700"/>
      </w:pPr>
    </w:p>
    <w:p>
      <w:pPr>
        <w:pStyle w:val="BodyTextIndent21"/>
        <w:tabs>
          <w:tab w:val="num" w:pos="709"/>
        </w:tabs>
      </w:pPr>
      <w:r>
        <w:t>Pour déterminer le degré de maîtrise, il sera tenu compte des critères suivants :</w:t>
      </w:r>
    </w:p>
    <w:p>
      <w:pPr>
        <w:pStyle w:val="BodyTextIndent21"/>
        <w:tabs>
          <w:tab w:val="num" w:pos="709"/>
        </w:tabs>
      </w:pPr>
    </w:p>
    <w:p>
      <w:pPr>
        <w:pStyle w:val="BodyTextIndent21"/>
        <w:numPr>
          <w:ilvl w:val="0"/>
          <w:numId w:val="7"/>
        </w:numPr>
        <w:spacing w:before="120" w:after="120"/>
      </w:pPr>
      <w:r>
        <w:t>le degré d’intégration des concepts,</w:t>
      </w:r>
    </w:p>
    <w:p>
      <w:pPr>
        <w:pStyle w:val="BodyTextIndent21"/>
        <w:numPr>
          <w:ilvl w:val="0"/>
          <w:numId w:val="7"/>
        </w:numPr>
        <w:spacing w:before="120" w:after="120"/>
      </w:pPr>
      <w:r>
        <w:t>la  précision de l’analyse,</w:t>
      </w:r>
    </w:p>
    <w:p>
      <w:pPr>
        <w:pStyle w:val="BodyTextIndent21"/>
        <w:numPr>
          <w:ilvl w:val="0"/>
          <w:numId w:val="7"/>
        </w:numPr>
        <w:spacing w:before="120" w:after="120"/>
      </w:pPr>
      <w:r>
        <w:t>le degré d’autonomie.</w:t>
      </w:r>
    </w:p>
    <w:p>
      <w:pPr>
        <w:pStyle w:val="BodyTextIndent21"/>
      </w:pPr>
    </w:p>
    <w:p>
      <w:pPr>
        <w:pStyle w:val="BodyTextIndent21"/>
      </w:pPr>
    </w:p>
    <w:p>
      <w:pPr>
        <w:pStyle w:val="BodyTextIndent21"/>
      </w:pPr>
    </w:p>
    <w:p>
      <w:pPr>
        <w:pStyle w:val="BodyTextIndent21"/>
      </w:pPr>
    </w:p>
    <w:p>
      <w:pPr>
        <w:pStyle w:val="BodyTextIndent21"/>
        <w:rPr>
          <w:szCs w:val="22"/>
        </w:rPr>
      </w:pPr>
    </w:p>
    <w:p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PROGRAMME DES COURS </w:t>
      </w:r>
    </w:p>
    <w:p>
      <w:pPr>
        <w:spacing w:before="120"/>
        <w:jc w:val="both"/>
        <w:rPr>
          <w:b/>
          <w:sz w:val="22"/>
          <w:szCs w:val="22"/>
        </w:rPr>
      </w:pPr>
    </w:p>
    <w:p>
      <w:pPr>
        <w:spacing w:line="-240" w:lineRule="auto"/>
        <w:ind w:left="425"/>
        <w:jc w:val="both"/>
        <w:rPr>
          <w:sz w:val="22"/>
        </w:rPr>
      </w:pPr>
      <w:r>
        <w:rPr>
          <w:sz w:val="22"/>
        </w:rPr>
        <w:t>L’étudiant sera capable :</w:t>
      </w:r>
    </w:p>
    <w:p>
      <w:pPr>
        <w:spacing w:line="-240" w:lineRule="auto"/>
        <w:ind w:left="425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i/>
          <w:sz w:val="22"/>
        </w:rPr>
      </w:pPr>
      <w:r>
        <w:rPr>
          <w:i/>
          <w:sz w:val="22"/>
        </w:rPr>
        <w:t xml:space="preserve">Face à une situation-problème exemplative du métier d’agent de gardiennage, en utilisant les notions théoriques et les outils techniques et/ou méthodologiques mis à sa disposition, dans le respect de la langue française, </w:t>
      </w:r>
    </w:p>
    <w:p>
      <w:pPr>
        <w:spacing w:line="-240" w:lineRule="auto"/>
        <w:ind w:left="425"/>
        <w:jc w:val="both"/>
        <w:rPr>
          <w:i/>
          <w:sz w:val="22"/>
        </w:rPr>
      </w:pPr>
    </w:p>
    <w:p>
      <w:pPr>
        <w:spacing w:line="-240" w:lineRule="auto"/>
        <w:ind w:left="425"/>
        <w:jc w:val="both"/>
        <w:rPr>
          <w:b/>
          <w:i/>
          <w:sz w:val="22"/>
        </w:rPr>
      </w:pPr>
      <w:r>
        <w:rPr>
          <w:b/>
          <w:i/>
          <w:sz w:val="22"/>
        </w:rPr>
        <w:t>Dans le respect des notes officielles de cours agréées par le SPF Intérieur, dans leur version la plus récente,</w:t>
      </w:r>
    </w:p>
    <w:p>
      <w:pPr>
        <w:spacing w:line="-240" w:lineRule="auto"/>
        <w:ind w:left="425"/>
        <w:jc w:val="both"/>
        <w:rPr>
          <w:b/>
          <w:sz w:val="22"/>
        </w:rPr>
      </w:pPr>
    </w:p>
    <w:p>
      <w:pPr>
        <w:spacing w:line="-240" w:lineRule="auto"/>
        <w:ind w:left="425"/>
        <w:jc w:val="both"/>
        <w:rPr>
          <w:b/>
          <w:sz w:val="22"/>
        </w:rPr>
      </w:pPr>
    </w:p>
    <w:p>
      <w:pPr>
        <w:pStyle w:val="Titre1"/>
        <w:rPr>
          <w:color w:val="FF0000"/>
        </w:rPr>
      </w:pPr>
      <w:bookmarkStart w:id="1" w:name="_Toc471929731"/>
      <w:r>
        <w:t>4.1.  En « Méthodologie spéciale : Aptitudes de communication » :</w:t>
      </w:r>
      <w:bookmarkEnd w:id="1"/>
      <w:r>
        <w:t xml:space="preserve"> </w:t>
      </w:r>
    </w:p>
    <w:p>
      <w:pPr>
        <w:spacing w:line="-240" w:lineRule="auto"/>
        <w:jc w:val="both"/>
        <w:rPr>
          <w:b/>
          <w:sz w:val="22"/>
        </w:rPr>
      </w:pP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d’identifier et décrire les facteurs de la communication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schéma de la communication et ses éléments,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codage et décodage du message,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processus d’appauvrissement du message.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d’identifier et décrire la communication non verbale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canaux de perception,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2 types de communication non verbale,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communication intentionnelle,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communication non intentionnelle.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8"/>
        <w:jc w:val="both"/>
        <w:rPr>
          <w:sz w:val="22"/>
        </w:rPr>
      </w:pPr>
      <w:r>
        <w:rPr>
          <w:sz w:val="22"/>
        </w:rPr>
        <w:t>les six émotions universelles et leurs manifestations non verbales (colère, joie, tristesse, peur, dégout, surprise),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sept communications non verbales universelles :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la posture,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le contact corporel,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le contact visuel,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le paralangage,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le territoire,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l’aspect extérieur,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l’environnement.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d’identifier les freins à la communication tels que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pièges émotionnels,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barrages à la communication.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d’identifier et décrire les techniques de communication suivantes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l’écoute active,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relation authentique,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l’assertivité/l’affirmation de soi,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capacité d’intelligence émotionnelle,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synchronisation.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de caractériser la communication non violente ;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de caractériser la communication avec des personnes agressives et manipulatrices telles que 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l’agressif-dominateur,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manipulateur.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de mettre en œuvre la communication par téléphone 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l’accueil au téléphone,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réception d’un appel téléphonique,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l’envoi d’un appel téléphonique.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de mettre en œuvre la communication au bureau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l’accueil des demandes et des plaintes.</w:t>
      </w:r>
    </w:p>
    <w:p>
      <w:pPr>
        <w:numPr>
          <w:ilvl w:val="0"/>
          <w:numId w:val="10"/>
        </w:numPr>
        <w:spacing w:before="120" w:after="120"/>
        <w:ind w:left="1134"/>
        <w:jc w:val="both"/>
        <w:rPr>
          <w:sz w:val="22"/>
        </w:rPr>
      </w:pPr>
      <w:r>
        <w:rPr>
          <w:sz w:val="22"/>
        </w:rPr>
        <w:t>de décrire les techniques de communication de groupes.</w:t>
      </w: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jc w:val="both"/>
        <w:rPr>
          <w:b/>
          <w:sz w:val="22"/>
        </w:rPr>
      </w:pPr>
    </w:p>
    <w:p>
      <w:pPr>
        <w:pStyle w:val="Titre1"/>
      </w:pPr>
      <w:bookmarkStart w:id="2" w:name="_Toc471929732"/>
      <w:r>
        <w:t>4.2.  En « Méthodologie spéciale : «Formation sociétale et culturelle» :</w:t>
      </w:r>
      <w:bookmarkEnd w:id="2"/>
    </w:p>
    <w:p/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définir et décrire la notion d’identité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composants de l’identité,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construction de l’identité :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identification et opposition,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cadre de référence, valeurs et croyances,</w:t>
      </w:r>
    </w:p>
    <w:p>
      <w:pPr>
        <w:numPr>
          <w:ilvl w:val="2"/>
          <w:numId w:val="9"/>
        </w:numPr>
        <w:tabs>
          <w:tab w:val="clear" w:pos="2585"/>
          <w:tab w:val="num" w:pos="2388"/>
        </w:tabs>
        <w:ind w:left="2387" w:hanging="357"/>
        <w:jc w:val="both"/>
        <w:rPr>
          <w:sz w:val="22"/>
        </w:rPr>
      </w:pPr>
      <w:r>
        <w:rPr>
          <w:sz w:val="22"/>
        </w:rPr>
        <w:t>évolution personnelle.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 xml:space="preserve">de décrire les stratégies identitaires qui, dans certaines circonstances,  peuvent être mises en place tant par les individus d’origine étrangère (stratégies visant à éviter la remise en question, stratégies de compromis, etc.) que par les autochtones (assimilation, insertion, intégration etc.) ; 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définir et de décrire la communication interculturelle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définir la notion de culture et de décrire ses composants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décrire quelques exemples des catégories culturelles 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et décrire les notions de diversité et de phénomènes de groupe telles que 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diversité humaine,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notion de groupe,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l’individu et le groupe,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différents types de diversité dans un groupe,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socialisation,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 xml:space="preserve">la théorie de la dominance sociale de Sidanius et Pratto,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relations entre groupes, stéréotypes, préjugés et discriminations,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l’identité sociale et la comparaison sociale.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et de décrire les stéréotypes et les préjugés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 xml:space="preserve">d’identifier les discriminations et leurs critères :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 xml:space="preserve">la discrimination positive,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racisme et la discrimination en Belgique aujourd’hui,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 rôle des médias,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l’agent de gardiennage et le « délit de sale gueule » dans diverses circonstances.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 xml:space="preserve">d’expliquer la notion de racisme :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l’historique,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prétentions scientifiques du racisme, </w:t>
      </w:r>
      <w:r>
        <w:rPr>
          <w:color w:val="FF0000"/>
          <w:sz w:val="22"/>
        </w:rPr>
        <w:t xml:space="preserve">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 xml:space="preserve">l’évolution actuelle du discours raciste,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causes et les conséquences du racisme.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décrire quelques exemples d’attitudes ou d’actes racistes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lastRenderedPageBreak/>
        <w:t>d’identifier des notions et valeurs pouvant être mises en œuvre  dans la lutte contre le racisme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décoder la législation contre le racisme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décoder la loi du 15 février 1993 créant un centre pour l’égalité des chances et la lutte contre le racisme ;</w:t>
      </w:r>
    </w:p>
    <w:p>
      <w:pPr>
        <w:numPr>
          <w:ilvl w:val="0"/>
          <w:numId w:val="8"/>
        </w:numPr>
        <w:spacing w:before="120" w:after="120" w:line="-240" w:lineRule="auto"/>
        <w:jc w:val="both"/>
        <w:rPr>
          <w:sz w:val="22"/>
        </w:rPr>
      </w:pPr>
      <w:r>
        <w:rPr>
          <w:sz w:val="22"/>
        </w:rPr>
        <w:t xml:space="preserve">de différencier les notions d’assimilation, intégration et discrimination. </w:t>
      </w:r>
    </w:p>
    <w:p>
      <w:pPr>
        <w:spacing w:line="-240" w:lineRule="auto"/>
        <w:jc w:val="both"/>
        <w:rPr>
          <w:b/>
          <w:sz w:val="22"/>
        </w:rPr>
      </w:pPr>
    </w:p>
    <w:p>
      <w:pPr>
        <w:spacing w:line="-240" w:lineRule="auto"/>
        <w:jc w:val="both"/>
        <w:rPr>
          <w:b/>
          <w:sz w:val="22"/>
        </w:rPr>
      </w:pPr>
    </w:p>
    <w:p>
      <w:pPr>
        <w:pStyle w:val="Titre1"/>
      </w:pPr>
      <w:bookmarkStart w:id="3" w:name="_Toc471929733"/>
      <w:r>
        <w:t>4.3.  En « Méthodologie spéciale : Approche des conflits » :</w:t>
      </w:r>
      <w:bookmarkEnd w:id="3"/>
      <w:r>
        <w:t xml:space="preserve"> </w:t>
      </w:r>
    </w:p>
    <w:p>
      <w:pPr>
        <w:spacing w:line="-240" w:lineRule="auto"/>
        <w:ind w:left="425"/>
        <w:jc w:val="both"/>
        <w:rPr>
          <w:b/>
          <w:sz w:val="22"/>
        </w:rPr>
      </w:pP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définir les notions de  crise, conflit (et ses composants), agressivité et violence 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et décrire les stratégies mises en œuvre dans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gestion de crise,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gestion de conflit,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gestion de l’agressivité,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gestion de la violence.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les conflits de types interpersonnels et organisationnels comme problème et de décrire leurs composants par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leurs origines,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leurs conséquences,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éléments permettant une reconnaissance anticipative du conflit interpersonnel et de proposer une ou plusieurs solutions.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de définir la notion de stress, d’identifier  ses composants et de décrire son influence sur le comportement 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sources du stress,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 phases de réponse physiologique au stress,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résistance face au stress,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la notion de stress chronique,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éléments cognitifs, corporels et comportementaux permettant une meilleure gestion du stress.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les principes et de décrire les méthodes d’approche mises en œuvre dans la gestion du conflit interpersonnel non-spécifique et du conflit interpersonnel spécifique ;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et de décrire les principaux effets sur le comportement de produits tels que :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stimulants,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 xml:space="preserve">les sédatifs, 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hallucinogènes,</w:t>
      </w:r>
    </w:p>
    <w:p>
      <w:pPr>
        <w:numPr>
          <w:ilvl w:val="1"/>
          <w:numId w:val="9"/>
        </w:numPr>
        <w:tabs>
          <w:tab w:val="clear" w:pos="1865"/>
          <w:tab w:val="num" w:pos="1668"/>
        </w:tabs>
        <w:spacing w:before="60" w:after="60"/>
        <w:ind w:left="1667" w:hanging="357"/>
        <w:jc w:val="both"/>
        <w:rPr>
          <w:sz w:val="22"/>
        </w:rPr>
      </w:pPr>
      <w:r>
        <w:rPr>
          <w:sz w:val="22"/>
        </w:rPr>
        <w:t>les sédatifs à effets hallucinogènes.</w:t>
      </w:r>
    </w:p>
    <w:p>
      <w:pPr>
        <w:numPr>
          <w:ilvl w:val="0"/>
          <w:numId w:val="8"/>
        </w:numPr>
        <w:spacing w:before="120" w:after="120"/>
        <w:jc w:val="both"/>
        <w:rPr>
          <w:sz w:val="22"/>
        </w:rPr>
      </w:pPr>
      <w:r>
        <w:rPr>
          <w:sz w:val="22"/>
        </w:rPr>
        <w:t>d’identifier les principes et de décrire les méthodes d’approche mises en œuvre dans la gestion du conflit interpersonnel groupal.</w:t>
      </w: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jc w:val="both"/>
        <w:rPr>
          <w:sz w:val="22"/>
        </w:rPr>
      </w:pPr>
    </w:p>
    <w:p>
      <w:pPr>
        <w:spacing w:line="-240" w:lineRule="auto"/>
        <w:ind w:left="425"/>
        <w:jc w:val="both"/>
        <w:rPr>
          <w:b/>
          <w:sz w:val="22"/>
        </w:rPr>
      </w:pPr>
    </w:p>
    <w:p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CONSTITUTION DES GROUPES OU REGROUPEMENT</w:t>
      </w:r>
    </w:p>
    <w:p>
      <w:pPr>
        <w:tabs>
          <w:tab w:val="num" w:pos="435"/>
        </w:tabs>
        <w:jc w:val="both"/>
        <w:rPr>
          <w:b/>
          <w:sz w:val="22"/>
          <w:szCs w:val="22"/>
        </w:rPr>
      </w:pPr>
    </w:p>
    <w:p>
      <w:pPr>
        <w:tabs>
          <w:tab w:val="num" w:pos="435"/>
        </w:tabs>
        <w:ind w:left="435"/>
        <w:jc w:val="both"/>
        <w:rPr>
          <w:sz w:val="22"/>
        </w:rPr>
      </w:pPr>
      <w:r>
        <w:rPr>
          <w:sz w:val="22"/>
        </w:rPr>
        <w:t>Il est recommandé de travailler avec des groupes n’excédant pas 20 étudiants.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CHARGE DE COURS </w:t>
      </w: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ind w:left="435"/>
        <w:jc w:val="both"/>
        <w:rPr>
          <w:sz w:val="22"/>
        </w:rPr>
      </w:pPr>
      <w:r>
        <w:rPr>
          <w:sz w:val="22"/>
        </w:rPr>
        <w:t>Le chargé de cours (enseignant ou expert) devra justifier de compétences particulières garanties par un agrément obtenu dans le respect des conditions légales et règlementaires émanant du SPF Intérieur.</w:t>
      </w: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L'UNITE D’ENSEIGNEMENT</w:t>
      </w:r>
    </w:p>
    <w:p>
      <w:pPr>
        <w:ind w:left="435"/>
        <w:jc w:val="both"/>
        <w:rPr>
          <w:b/>
          <w:sz w:val="22"/>
          <w:szCs w:val="22"/>
        </w:rPr>
      </w:pPr>
    </w:p>
    <w:p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rPr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rPr>
          <w:jc w:val="center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</w:pPr>
            <w:r>
              <w:rPr>
                <w:sz w:val="22"/>
              </w:rPr>
              <w:t xml:space="preserve">Méthodologie spéciale : Aptitudes de communication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16</w:t>
            </w:r>
          </w:p>
        </w:tc>
      </w:tr>
      <w:tr>
        <w:trPr>
          <w:jc w:val="center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</w:pPr>
            <w:r>
              <w:rPr>
                <w:sz w:val="22"/>
              </w:rPr>
              <w:t>Méthodologie spéciale : Formation sociétale et culturelle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20</w:t>
            </w:r>
          </w:p>
        </w:tc>
      </w:tr>
      <w:tr>
        <w:trPr>
          <w:jc w:val="center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</w:pPr>
            <w:r>
              <w:rPr>
                <w:sz w:val="22"/>
              </w:rPr>
              <w:t>Méthodologie spéciale : Approche des conflits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rPr>
                <w:sz w:val="22"/>
              </w:rP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28</w:t>
            </w:r>
          </w:p>
        </w:tc>
      </w:tr>
      <w:tr>
        <w:trPr>
          <w:jc w:val="center"/>
        </w:trP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16</w:t>
            </w:r>
          </w:p>
        </w:tc>
      </w:tr>
      <w:tr>
        <w:trPr>
          <w:jc w:val="center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</w:rPr>
              <w:t>80</w:t>
            </w:r>
          </w:p>
        </w:tc>
      </w:tr>
    </w:tbl>
    <w:p/>
    <w:p/>
    <w:p/>
    <w:sectPr>
      <w:footerReference w:type="even" r:id="rId7"/>
      <w:footerReference w:type="default" r:id="rId8"/>
      <w:pgSz w:w="11907" w:h="16840"/>
      <w:pgMar w:top="851" w:right="851" w:bottom="663" w:left="1140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9071"/>
        <w:tab w:val="right" w:pos="9639"/>
      </w:tabs>
      <w:ind w:right="360"/>
      <w:rPr>
        <w:color w:val="0000FF"/>
        <w:sz w:val="18"/>
        <w:szCs w:val="18"/>
      </w:rPr>
    </w:pPr>
    <w:r>
      <w:rPr>
        <w:color w:val="0000FF"/>
        <w:sz w:val="18"/>
        <w:szCs w:val="18"/>
      </w:rPr>
      <w:tab/>
    </w:r>
    <w:r>
      <w:rPr>
        <w:color w:val="0000FF"/>
        <w:sz w:val="18"/>
        <w:szCs w:val="18"/>
      </w:rPr>
      <w:tab/>
      <w:t xml:space="preserve">Page </w:t>
    </w:r>
    <w:r>
      <w:rPr>
        <w:color w:val="0000FF"/>
        <w:sz w:val="18"/>
        <w:szCs w:val="18"/>
      </w:rPr>
      <w:fldChar w:fldCharType="begin"/>
    </w:r>
    <w:r>
      <w:rPr>
        <w:color w:val="0000FF"/>
        <w:sz w:val="18"/>
        <w:szCs w:val="18"/>
      </w:rPr>
      <w:instrText xml:space="preserve"> PAGE </w:instrText>
    </w:r>
    <w:r>
      <w:rPr>
        <w:color w:val="0000FF"/>
        <w:sz w:val="18"/>
        <w:szCs w:val="18"/>
      </w:rPr>
      <w:fldChar w:fldCharType="separate"/>
    </w:r>
    <w:r>
      <w:rPr>
        <w:noProof/>
        <w:color w:val="0000FF"/>
        <w:sz w:val="18"/>
        <w:szCs w:val="18"/>
      </w:rPr>
      <w:t>2</w:t>
    </w:r>
    <w:r>
      <w:rPr>
        <w:color w:val="0000FF"/>
        <w:sz w:val="18"/>
        <w:szCs w:val="18"/>
      </w:rPr>
      <w:fldChar w:fldCharType="end"/>
    </w:r>
    <w:r>
      <w:rPr>
        <w:color w:val="0000FF"/>
        <w:sz w:val="18"/>
        <w:szCs w:val="18"/>
      </w:rPr>
      <w:t xml:space="preserve"> sur </w:t>
    </w:r>
    <w:r>
      <w:rPr>
        <w:color w:val="0000FF"/>
        <w:sz w:val="18"/>
        <w:szCs w:val="18"/>
      </w:rPr>
      <w:fldChar w:fldCharType="begin"/>
    </w:r>
    <w:r>
      <w:rPr>
        <w:color w:val="0000FF"/>
        <w:sz w:val="18"/>
        <w:szCs w:val="18"/>
      </w:rPr>
      <w:instrText xml:space="preserve"> NUMPAGES </w:instrText>
    </w:r>
    <w:r>
      <w:rPr>
        <w:color w:val="0000FF"/>
        <w:sz w:val="18"/>
        <w:szCs w:val="18"/>
      </w:rPr>
      <w:fldChar w:fldCharType="separate"/>
    </w:r>
    <w:r>
      <w:rPr>
        <w:noProof/>
        <w:color w:val="0000FF"/>
        <w:sz w:val="18"/>
        <w:szCs w:val="18"/>
      </w:rPr>
      <w:t>8</w:t>
    </w:r>
    <w:r>
      <w:rPr>
        <w:color w:val="0000FF"/>
        <w:sz w:val="18"/>
        <w:szCs w:val="18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792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E5E677D"/>
    <w:multiLevelType w:val="hybridMultilevel"/>
    <w:tmpl w:val="EBD03098"/>
    <w:lvl w:ilvl="0" w:tplc="937A3F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D34"/>
    <w:multiLevelType w:val="hybridMultilevel"/>
    <w:tmpl w:val="27A44B58"/>
    <w:lvl w:ilvl="0" w:tplc="6F2448AA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3A526D"/>
    <w:multiLevelType w:val="hybridMultilevel"/>
    <w:tmpl w:val="983CA7A0"/>
    <w:lvl w:ilvl="0" w:tplc="27265618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8D687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C5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C7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A7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DAB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E8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27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7A5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64C42"/>
    <w:multiLevelType w:val="hybridMultilevel"/>
    <w:tmpl w:val="A58A1F22"/>
    <w:lvl w:ilvl="0" w:tplc="533CA47C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D15CA3"/>
    <w:multiLevelType w:val="hybridMultilevel"/>
    <w:tmpl w:val="20CC8F9E"/>
    <w:lvl w:ilvl="0" w:tplc="8BB88936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B54"/>
    <w:multiLevelType w:val="singleLevel"/>
    <w:tmpl w:val="040C0003"/>
    <w:lvl w:ilvl="0">
      <w:start w:val="1"/>
      <w:numFmt w:val="bullet"/>
      <w:pStyle w:val="Listepuces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012D"/>
    <w:multiLevelType w:val="hybridMultilevel"/>
    <w:tmpl w:val="39F26B38"/>
    <w:lvl w:ilvl="0" w:tplc="6F2448AA">
      <w:start w:val="1"/>
      <w:numFmt w:val="bullet"/>
      <w:lvlText w:val=""/>
      <w:lvlJc w:val="left"/>
      <w:pPr>
        <w:ind w:left="1265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DF4042E"/>
    <w:multiLevelType w:val="multilevel"/>
    <w:tmpl w:val="2E04B95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0" w15:restartNumberingAfterBreak="0">
    <w:nsid w:val="7F4D7F7A"/>
    <w:multiLevelType w:val="multilevel"/>
    <w:tmpl w:val="E9B2F44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400A800-B57C-4F37-A306-A73AB23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425"/>
      <w:outlineLvl w:val="0"/>
    </w:pPr>
    <w:rPr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otation">
    <w:name w:val="Annotation"/>
    <w:basedOn w:val="Normal"/>
    <w:next w:val="Normal"/>
    <w:link w:val="AnnotationCar"/>
    <w:autoRedefine/>
    <w:qFormat/>
    <w:pPr>
      <w:widowControl w:val="0"/>
      <w:tabs>
        <w:tab w:val="left" w:pos="851"/>
      </w:tabs>
      <w:suppressAutoHyphens/>
      <w:autoSpaceDE w:val="0"/>
      <w:spacing w:line="360" w:lineRule="auto"/>
    </w:pPr>
    <w:rPr>
      <w:color w:val="FF0000"/>
      <w:szCs w:val="24"/>
      <w:lang w:eastAsia="fr-BE"/>
    </w:rPr>
  </w:style>
  <w:style w:type="character" w:customStyle="1" w:styleId="AnnotationCar">
    <w:name w:val="Annotation Car"/>
    <w:basedOn w:val="Policepardfaut"/>
    <w:link w:val="Annotation"/>
    <w:rPr>
      <w:rFonts w:ascii="Times New Roman" w:eastAsia="Times New Roman" w:hAnsi="Times New Roman" w:cs="Times New Roman"/>
      <w:color w:val="FF0000"/>
      <w:szCs w:val="24"/>
      <w:lang w:eastAsia="fr-BE"/>
    </w:rPr>
  </w:style>
  <w:style w:type="paragraph" w:customStyle="1" w:styleId="Normal2">
    <w:name w:val="Normal 2"/>
    <w:basedOn w:val="Normal"/>
    <w:link w:val="Normal2Car"/>
    <w:qFormat/>
    <w:rPr>
      <w:rFonts w:cs="Tahoma"/>
      <w:iCs/>
      <w:lang w:eastAsia="fr-BE"/>
    </w:rPr>
  </w:style>
  <w:style w:type="character" w:customStyle="1" w:styleId="Normal2Car">
    <w:name w:val="Normal 2 Car"/>
    <w:basedOn w:val="Policepardfaut"/>
    <w:link w:val="Normal2"/>
    <w:rPr>
      <w:rFonts w:ascii="Times New Roman" w:eastAsia="Times New Roman" w:hAnsi="Times New Roman" w:cs="Tahoma"/>
      <w:iCs/>
      <w:lang w:eastAsia="fr-BE"/>
    </w:rPr>
  </w:style>
  <w:style w:type="paragraph" w:customStyle="1" w:styleId="Normal3">
    <w:name w:val="Normal 3"/>
    <w:basedOn w:val="Normal"/>
    <w:link w:val="Normal3Car"/>
    <w:qFormat/>
    <w:rPr>
      <w:color w:val="FF0000"/>
      <w:lang w:eastAsia="fr-BE"/>
    </w:rPr>
  </w:style>
  <w:style w:type="character" w:customStyle="1" w:styleId="Normal3Car">
    <w:name w:val="Normal 3 Car"/>
    <w:basedOn w:val="Policepardfaut"/>
    <w:link w:val="Normal3"/>
    <w:rPr>
      <w:rFonts w:ascii="Times New Roman" w:eastAsia="Times New Roman" w:hAnsi="Times New Roman" w:cs="Times New Roman"/>
      <w:color w:val="FF0000"/>
      <w:lang w:eastAsia="fr-BE"/>
    </w:rPr>
  </w:style>
  <w:style w:type="character" w:customStyle="1" w:styleId="Titre1Car">
    <w:name w:val="Titre 1 Car"/>
    <w:basedOn w:val="Policepardfaut"/>
    <w:link w:val="Titre1"/>
    <w:uiPriority w:val="99"/>
    <w:rPr>
      <w:rFonts w:ascii="Times New Roman" w:eastAsia="Times New Roman" w:hAnsi="Times New Roman" w:cs="Times New Roman"/>
      <w:b/>
      <w:bCs/>
      <w:kern w:val="32"/>
      <w:szCs w:val="32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Pr>
      <w:rFonts w:ascii="Times New Roman" w:eastAsia="Times New Roman" w:hAnsi="Times New Roman" w:cs="Times New Roman"/>
      <w:b/>
      <w:sz w:val="22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Cs w:val="20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/>
      <w:noProof/>
      <w:sz w:val="20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Listepuces2">
    <w:name w:val="List Bullet 2"/>
    <w:basedOn w:val="Normal"/>
    <w:uiPriority w:val="99"/>
    <w:pPr>
      <w:numPr>
        <w:numId w:val="4"/>
      </w:numPr>
      <w:tabs>
        <w:tab w:val="clear" w:pos="360"/>
        <w:tab w:val="num" w:pos="2203"/>
      </w:tabs>
      <w:spacing w:before="120"/>
      <w:ind w:left="2203"/>
    </w:pPr>
    <w:rPr>
      <w:sz w:val="22"/>
      <w:szCs w:val="22"/>
    </w:rPr>
  </w:style>
  <w:style w:type="paragraph" w:customStyle="1" w:styleId="BodyTextIndent21">
    <w:name w:val="Body Text Indent 21"/>
    <w:basedOn w:val="Normal"/>
    <w:uiPriority w:val="99"/>
    <w:pPr>
      <w:ind w:left="426"/>
      <w:jc w:val="both"/>
    </w:pPr>
    <w:rPr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michel.gossiaux</dc:creator>
  <cp:lastModifiedBy>goulet02</cp:lastModifiedBy>
  <cp:revision>4</cp:revision>
  <dcterms:created xsi:type="dcterms:W3CDTF">2019-12-13T16:15:00Z</dcterms:created>
  <dcterms:modified xsi:type="dcterms:W3CDTF">2020-08-27T13:21:00Z</dcterms:modified>
</cp:coreProperties>
</file>